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F1BA" w14:textId="77777777" w:rsidR="002830DB" w:rsidRPr="000D6086" w:rsidRDefault="002830DB" w:rsidP="00223B82">
      <w:pPr>
        <w:pStyle w:val="Title"/>
        <w:spacing w:line="276" w:lineRule="auto"/>
        <w:jc w:val="center"/>
        <w:rPr>
          <w:rFonts w:ascii="Calibri" w:hAnsi="Calibri" w:cs="Calibri"/>
          <w:b/>
          <w:color w:val="2E74B5" w:themeColor="accent1" w:themeShade="BF"/>
          <w:sz w:val="32"/>
          <w:szCs w:val="32"/>
        </w:rPr>
      </w:pPr>
    </w:p>
    <w:p w14:paraId="02A20825" w14:textId="77777777" w:rsidR="002830DB" w:rsidRPr="000D6086" w:rsidRDefault="002830DB" w:rsidP="000D6086">
      <w:pPr>
        <w:pStyle w:val="Title"/>
        <w:spacing w:line="276" w:lineRule="auto"/>
        <w:rPr>
          <w:rFonts w:ascii="Calibri" w:hAnsi="Calibri" w:cs="Calibri"/>
          <w:b/>
          <w:color w:val="2E74B5" w:themeColor="accent1" w:themeShade="BF"/>
          <w:sz w:val="32"/>
          <w:szCs w:val="32"/>
        </w:rPr>
      </w:pPr>
    </w:p>
    <w:p w14:paraId="7EEEF7AF" w14:textId="3A0D38A2" w:rsidR="00EC4844" w:rsidRPr="000D6086" w:rsidRDefault="00EC4844" w:rsidP="00223B82">
      <w:pPr>
        <w:pStyle w:val="Title"/>
        <w:spacing w:line="276" w:lineRule="auto"/>
        <w:jc w:val="center"/>
        <w:rPr>
          <w:rFonts w:ascii="Calibri" w:hAnsi="Calibri" w:cs="Calibri"/>
          <w:b/>
          <w:color w:val="2E74B5" w:themeColor="accent1" w:themeShade="BF"/>
          <w:sz w:val="32"/>
          <w:szCs w:val="32"/>
        </w:rPr>
      </w:pPr>
      <w:r w:rsidRPr="000D6086">
        <w:rPr>
          <w:rFonts w:ascii="Calibri" w:hAnsi="Calibri" w:cs="Calibri"/>
          <w:b/>
          <w:color w:val="2E74B5" w:themeColor="accent1" w:themeShade="BF"/>
          <w:sz w:val="32"/>
          <w:szCs w:val="32"/>
        </w:rPr>
        <w:t xml:space="preserve">Armenian EITI MSG’s Feedback on Armenia Validation and Draft </w:t>
      </w:r>
      <w:r w:rsidR="00545132" w:rsidRPr="000D6086">
        <w:rPr>
          <w:rFonts w:ascii="Calibri" w:hAnsi="Calibri" w:cs="Calibri"/>
          <w:b/>
          <w:color w:val="2E74B5" w:themeColor="accent1" w:themeShade="BF"/>
          <w:sz w:val="32"/>
          <w:szCs w:val="32"/>
        </w:rPr>
        <w:t>A</w:t>
      </w:r>
      <w:r w:rsidRPr="000D6086">
        <w:rPr>
          <w:rFonts w:ascii="Calibri" w:hAnsi="Calibri" w:cs="Calibri"/>
          <w:b/>
          <w:color w:val="2E74B5" w:themeColor="accent1" w:themeShade="BF"/>
          <w:sz w:val="32"/>
          <w:szCs w:val="32"/>
        </w:rPr>
        <w:t xml:space="preserve">ssessment of </w:t>
      </w:r>
      <w:r w:rsidR="00545132" w:rsidRPr="000D6086">
        <w:rPr>
          <w:rFonts w:ascii="Calibri" w:hAnsi="Calibri" w:cs="Calibri"/>
          <w:b/>
          <w:color w:val="2E74B5" w:themeColor="accent1" w:themeShade="BF"/>
          <w:sz w:val="32"/>
          <w:szCs w:val="32"/>
        </w:rPr>
        <w:t>P</w:t>
      </w:r>
      <w:r w:rsidRPr="000D6086">
        <w:rPr>
          <w:rFonts w:ascii="Calibri" w:hAnsi="Calibri" w:cs="Calibri"/>
          <w:b/>
          <w:color w:val="2E74B5" w:themeColor="accent1" w:themeShade="BF"/>
          <w:sz w:val="32"/>
          <w:szCs w:val="32"/>
        </w:rPr>
        <w:t xml:space="preserve">rogress in </w:t>
      </w:r>
      <w:r w:rsidR="00545132" w:rsidRPr="000D6086">
        <w:rPr>
          <w:rFonts w:ascii="Calibri" w:hAnsi="Calibri" w:cs="Calibri"/>
          <w:b/>
          <w:color w:val="2E74B5" w:themeColor="accent1" w:themeShade="BF"/>
          <w:sz w:val="32"/>
          <w:szCs w:val="32"/>
        </w:rPr>
        <w:t>I</w:t>
      </w:r>
      <w:r w:rsidRPr="000D6086">
        <w:rPr>
          <w:rFonts w:ascii="Calibri" w:hAnsi="Calibri" w:cs="Calibri"/>
          <w:b/>
          <w:color w:val="2E74B5" w:themeColor="accent1" w:themeShade="BF"/>
          <w:sz w:val="32"/>
          <w:szCs w:val="32"/>
        </w:rPr>
        <w:t>mplementing the EITI Standard</w:t>
      </w:r>
    </w:p>
    <w:p w14:paraId="30A0FDEB" w14:textId="77777777" w:rsidR="00EC4844" w:rsidRPr="000D6086" w:rsidRDefault="00EC4844" w:rsidP="00223B82">
      <w:pPr>
        <w:jc w:val="both"/>
        <w:rPr>
          <w:rFonts w:ascii="Calibri" w:hAnsi="Calibri" w:cs="Calibri"/>
        </w:rPr>
      </w:pPr>
    </w:p>
    <w:p w14:paraId="69F5FEA6" w14:textId="4527FF46" w:rsidR="00EC4844" w:rsidRPr="000D6086" w:rsidRDefault="00EC4844" w:rsidP="002830DB">
      <w:pPr>
        <w:spacing w:after="60" w:line="276" w:lineRule="auto"/>
        <w:jc w:val="right"/>
        <w:rPr>
          <w:rFonts w:ascii="Calibri" w:hAnsi="Calibri" w:cs="Calibri"/>
          <w:color w:val="2E74B5" w:themeColor="accent1" w:themeShade="BF"/>
          <w:sz w:val="26"/>
          <w:szCs w:val="26"/>
        </w:rPr>
      </w:pPr>
      <w:r w:rsidRPr="000D6086">
        <w:rPr>
          <w:rFonts w:ascii="Calibri" w:hAnsi="Calibri" w:cs="Calibri"/>
          <w:color w:val="2E74B5" w:themeColor="accent1" w:themeShade="BF"/>
          <w:sz w:val="26"/>
          <w:szCs w:val="26"/>
        </w:rPr>
        <w:t>12 February, 2024</w:t>
      </w:r>
      <w:r w:rsidR="002830DB" w:rsidRPr="000D6086">
        <w:rPr>
          <w:rFonts w:ascii="Calibri" w:hAnsi="Calibri" w:cs="Calibri"/>
          <w:color w:val="2E74B5" w:themeColor="accent1" w:themeShade="BF"/>
          <w:sz w:val="26"/>
          <w:szCs w:val="26"/>
        </w:rPr>
        <w:t xml:space="preserve">, </w:t>
      </w:r>
      <w:r w:rsidRPr="000D6086">
        <w:rPr>
          <w:rFonts w:ascii="Calibri" w:hAnsi="Calibri" w:cs="Calibri"/>
          <w:color w:val="2E74B5" w:themeColor="accent1" w:themeShade="BF"/>
          <w:sz w:val="26"/>
          <w:szCs w:val="26"/>
        </w:rPr>
        <w:t>Yerevan</w:t>
      </w:r>
    </w:p>
    <w:p w14:paraId="1D371E1E" w14:textId="77777777" w:rsidR="00EC4844" w:rsidRPr="000D6086" w:rsidRDefault="00EC4844" w:rsidP="002830DB">
      <w:pPr>
        <w:spacing w:after="60" w:line="276" w:lineRule="auto"/>
        <w:jc w:val="right"/>
        <w:rPr>
          <w:rFonts w:ascii="Calibri" w:hAnsi="Calibri" w:cs="Calibri"/>
          <w:color w:val="2E74B5" w:themeColor="accent1" w:themeShade="BF"/>
          <w:sz w:val="26"/>
          <w:szCs w:val="26"/>
        </w:rPr>
      </w:pPr>
      <w:r w:rsidRPr="000D6086">
        <w:rPr>
          <w:rFonts w:ascii="Calibri" w:hAnsi="Calibri" w:cs="Calibri"/>
          <w:color w:val="2E74B5" w:themeColor="accent1" w:themeShade="BF"/>
          <w:sz w:val="26"/>
          <w:szCs w:val="26"/>
        </w:rPr>
        <w:t>Approved by the MSG</w:t>
      </w:r>
    </w:p>
    <w:p w14:paraId="6263A84A" w14:textId="0BE8C434" w:rsidR="003B19A5" w:rsidRPr="000D6086" w:rsidRDefault="003B19A5" w:rsidP="00223B82">
      <w:pPr>
        <w:spacing w:beforeLines="80" w:before="192" w:afterLines="80" w:after="192"/>
        <w:jc w:val="both"/>
        <w:rPr>
          <w:rFonts w:ascii="Calibri" w:hAnsi="Calibri" w:cs="Calibri"/>
        </w:rPr>
      </w:pPr>
    </w:p>
    <w:p w14:paraId="79A5A946" w14:textId="5751A77A" w:rsidR="00EC4844" w:rsidRPr="000D6086" w:rsidRDefault="00EC4844" w:rsidP="00223B82">
      <w:pPr>
        <w:spacing w:line="276" w:lineRule="auto"/>
        <w:jc w:val="both"/>
        <w:rPr>
          <w:rFonts w:ascii="Calibri" w:hAnsi="Calibri" w:cs="Calibri"/>
          <w:sz w:val="24"/>
          <w:szCs w:val="24"/>
        </w:rPr>
      </w:pPr>
      <w:r w:rsidRPr="000D6086">
        <w:rPr>
          <w:rFonts w:ascii="Calibri" w:hAnsi="Calibri" w:cs="Calibri"/>
          <w:sz w:val="24"/>
          <w:szCs w:val="24"/>
        </w:rPr>
        <w:t>This document presents the Armenian EITI Multi Stakeholders Group’s feedback on the Armenia Validation report and draft assessment of progress in implementing the EITI Standard.</w:t>
      </w:r>
    </w:p>
    <w:p w14:paraId="635BDB4A" w14:textId="22A3E125" w:rsidR="00EC4844" w:rsidRPr="000D6086" w:rsidRDefault="00EC4844" w:rsidP="00223B82">
      <w:pPr>
        <w:spacing w:line="276" w:lineRule="auto"/>
        <w:jc w:val="both"/>
        <w:rPr>
          <w:rFonts w:ascii="Calibri" w:hAnsi="Calibri" w:cs="Calibri"/>
          <w:sz w:val="24"/>
          <w:szCs w:val="24"/>
        </w:rPr>
      </w:pPr>
      <w:r w:rsidRPr="000D6086">
        <w:rPr>
          <w:rFonts w:ascii="Calibri" w:hAnsi="Calibri" w:cs="Calibri"/>
          <w:sz w:val="24"/>
          <w:szCs w:val="24"/>
        </w:rPr>
        <w:t>Validation Draft Report and Assessment ware reviewed by all members of the   Armenian EITI MSG and we consider it necessary to note that the EITI International Secretariat’s assessment of the collected data and the received consultations is appropriately qualified and detailed.</w:t>
      </w:r>
    </w:p>
    <w:p w14:paraId="55F87F45" w14:textId="7D603F3C" w:rsidR="00EC4844" w:rsidRPr="000D6086" w:rsidRDefault="00EC4844" w:rsidP="00223B82">
      <w:pPr>
        <w:spacing w:line="276" w:lineRule="auto"/>
        <w:jc w:val="both"/>
        <w:rPr>
          <w:rFonts w:ascii="Calibri" w:hAnsi="Calibri" w:cs="Calibri"/>
          <w:sz w:val="24"/>
          <w:szCs w:val="24"/>
        </w:rPr>
      </w:pPr>
      <w:r w:rsidRPr="000D6086">
        <w:rPr>
          <w:rFonts w:ascii="Calibri" w:hAnsi="Calibri" w:cs="Calibri"/>
          <w:sz w:val="24"/>
          <w:szCs w:val="24"/>
        </w:rPr>
        <w:t xml:space="preserve">The result of MSG review and elaborated comments are presented </w:t>
      </w:r>
      <w:r w:rsidR="00223B82" w:rsidRPr="000D6086">
        <w:rPr>
          <w:rFonts w:ascii="Calibri" w:hAnsi="Calibri" w:cs="Calibri"/>
          <w:sz w:val="24"/>
          <w:szCs w:val="24"/>
        </w:rPr>
        <w:t xml:space="preserve">by component name, sector, </w:t>
      </w:r>
      <w:r w:rsidR="00223B82" w:rsidRPr="000D6086">
        <w:rPr>
          <w:rFonts w:ascii="Calibri" w:hAnsi="Calibri" w:cs="Calibri"/>
          <w:bCs/>
          <w:sz w:val="24"/>
          <w:szCs w:val="24"/>
        </w:rPr>
        <w:t>EITI requirement, title and pages a</w:t>
      </w:r>
      <w:r w:rsidR="00223B82" w:rsidRPr="000D6086">
        <w:rPr>
          <w:rFonts w:ascii="Calibri" w:hAnsi="Calibri" w:cs="Calibri"/>
          <w:sz w:val="24"/>
          <w:szCs w:val="24"/>
        </w:rPr>
        <w:t>s below.</w:t>
      </w:r>
    </w:p>
    <w:p w14:paraId="7837BBDC" w14:textId="77777777" w:rsidR="00AE0957" w:rsidRPr="000D6086" w:rsidRDefault="00AE0957" w:rsidP="00223B82">
      <w:pPr>
        <w:spacing w:beforeLines="80" w:before="192" w:afterLines="80" w:after="192"/>
        <w:jc w:val="both"/>
        <w:rPr>
          <w:rFonts w:ascii="Calibri" w:hAnsi="Calibri" w:cs="Calibri"/>
          <w:sz w:val="24"/>
          <w:szCs w:val="24"/>
          <w:lang w:val="hy-AM"/>
        </w:rPr>
      </w:pPr>
    </w:p>
    <w:p w14:paraId="025CE54E" w14:textId="7094AF61" w:rsidR="000D6EC7" w:rsidRPr="000D6086" w:rsidRDefault="00223B82" w:rsidP="00866A75">
      <w:pPr>
        <w:pStyle w:val="Heading1"/>
        <w:spacing w:beforeLines="80" w:before="192" w:afterLines="80" w:after="192" w:line="276" w:lineRule="auto"/>
        <w:jc w:val="both"/>
        <w:rPr>
          <w:rFonts w:ascii="Calibri" w:hAnsi="Calibri" w:cs="Calibri"/>
          <w:sz w:val="26"/>
          <w:szCs w:val="26"/>
          <w:lang w:val="hy-AM"/>
        </w:rPr>
      </w:pPr>
      <w:bookmarkStart w:id="0" w:name="_Toc40282154"/>
      <w:r w:rsidRPr="000D6086">
        <w:rPr>
          <w:rFonts w:ascii="Calibri" w:hAnsi="Calibri" w:cs="Calibri"/>
          <w:sz w:val="26"/>
          <w:szCs w:val="26"/>
          <w:lang w:val="hy-AM"/>
        </w:rPr>
        <w:t>COMPONENT</w:t>
      </w:r>
      <w:r w:rsidR="00866A75" w:rsidRPr="000D6086">
        <w:rPr>
          <w:rFonts w:ascii="Calibri" w:hAnsi="Calibri" w:cs="Calibri"/>
          <w:sz w:val="26"/>
          <w:szCs w:val="26"/>
        </w:rPr>
        <w:t>:</w:t>
      </w:r>
      <w:bookmarkEnd w:id="0"/>
      <w:r w:rsidR="00227F19" w:rsidRPr="000D6086">
        <w:rPr>
          <w:rFonts w:ascii="Calibri" w:hAnsi="Calibri" w:cs="Calibri"/>
          <w:sz w:val="26"/>
          <w:szCs w:val="26"/>
        </w:rPr>
        <w:t xml:space="preserve"> </w:t>
      </w:r>
      <w:r w:rsidR="00227F19" w:rsidRPr="000D6086">
        <w:rPr>
          <w:rFonts w:ascii="Calibri" w:hAnsi="Calibri" w:cs="Calibri"/>
          <w:sz w:val="26"/>
          <w:szCs w:val="26"/>
          <w:lang w:val="hy-AM"/>
        </w:rPr>
        <w:t>Transparency</w:t>
      </w:r>
      <w:r w:rsidR="00866A75" w:rsidRPr="000D6086">
        <w:rPr>
          <w:rFonts w:ascii="Calibri" w:hAnsi="Calibri" w:cs="Calibri"/>
          <w:sz w:val="26"/>
          <w:szCs w:val="26"/>
        </w:rPr>
        <w:t xml:space="preserve">, </w:t>
      </w:r>
      <w:bookmarkStart w:id="1" w:name="_Toc40282155"/>
      <w:r w:rsidRPr="000D6086">
        <w:rPr>
          <w:rFonts w:ascii="Calibri" w:hAnsi="Calibri" w:cs="Calibri"/>
          <w:sz w:val="26"/>
          <w:szCs w:val="26"/>
          <w:lang w:val="hy-AM"/>
        </w:rPr>
        <w:t>Sector:</w:t>
      </w:r>
      <w:r w:rsidR="00227F19" w:rsidRPr="000D6086">
        <w:rPr>
          <w:rFonts w:ascii="Calibri" w:eastAsia="Times New Roman" w:hAnsi="Calibri" w:cs="Calibri"/>
          <w:color w:val="000000"/>
          <w:sz w:val="26"/>
          <w:szCs w:val="26"/>
        </w:rPr>
        <w:t xml:space="preserve"> </w:t>
      </w:r>
      <w:r w:rsidR="00227F19" w:rsidRPr="000D6086">
        <w:rPr>
          <w:rFonts w:ascii="Calibri" w:hAnsi="Calibri" w:cs="Calibri"/>
          <w:sz w:val="26"/>
          <w:szCs w:val="26"/>
          <w:lang w:val="hy-AM"/>
        </w:rPr>
        <w:t>Revenue collection</w:t>
      </w:r>
      <w:r w:rsidR="00866A75" w:rsidRPr="000D6086">
        <w:rPr>
          <w:rFonts w:ascii="Calibri" w:hAnsi="Calibri" w:cs="Calibri"/>
          <w:sz w:val="26"/>
          <w:szCs w:val="26"/>
        </w:rPr>
        <w:t xml:space="preserve">, </w:t>
      </w:r>
      <w:r w:rsidRPr="000D6086">
        <w:rPr>
          <w:rFonts w:ascii="Calibri" w:hAnsi="Calibri" w:cs="Calibri"/>
          <w:sz w:val="26"/>
          <w:szCs w:val="26"/>
          <w:lang w:val="hy-AM"/>
        </w:rPr>
        <w:t xml:space="preserve">EITI requirement: </w:t>
      </w:r>
      <w:r w:rsidR="00227F19" w:rsidRPr="000D6086">
        <w:rPr>
          <w:rFonts w:ascii="Calibri" w:hAnsi="Calibri" w:cs="Calibri"/>
          <w:sz w:val="26"/>
          <w:szCs w:val="26"/>
          <w:lang w:val="hy-AM"/>
        </w:rPr>
        <w:t>Data quality (#4.9)</w:t>
      </w:r>
      <w:r w:rsidR="00DB18ED" w:rsidRPr="000D6086">
        <w:rPr>
          <w:rFonts w:ascii="Calibri" w:hAnsi="Calibri" w:cs="Calibri"/>
          <w:sz w:val="26"/>
          <w:szCs w:val="26"/>
        </w:rPr>
        <w:t>,</w:t>
      </w:r>
      <w:r w:rsidR="00227F19" w:rsidRPr="000D6086">
        <w:rPr>
          <w:rFonts w:ascii="Calibri" w:hAnsi="Calibri" w:cs="Calibri"/>
          <w:sz w:val="26"/>
          <w:szCs w:val="26"/>
          <w:lang w:val="hy-AM"/>
        </w:rPr>
        <w:t xml:space="preserve"> </w:t>
      </w:r>
      <w:bookmarkEnd w:id="1"/>
      <w:r w:rsidRPr="000D6086">
        <w:rPr>
          <w:rFonts w:ascii="Calibri" w:hAnsi="Calibri" w:cs="Calibri"/>
          <w:sz w:val="26"/>
          <w:szCs w:val="26"/>
          <w:lang w:val="hy-AM"/>
        </w:rPr>
        <w:t xml:space="preserve"> pages:</w:t>
      </w:r>
      <w:r w:rsidR="000D6EC7" w:rsidRPr="000D6086">
        <w:rPr>
          <w:rFonts w:ascii="Calibri" w:hAnsi="Calibri" w:cs="Calibri"/>
          <w:sz w:val="26"/>
          <w:szCs w:val="26"/>
          <w:lang w:val="hy-AM"/>
        </w:rPr>
        <w:t xml:space="preserve"> </w:t>
      </w:r>
      <w:r w:rsidR="00FD07C7" w:rsidRPr="000D6086">
        <w:rPr>
          <w:rFonts w:ascii="Calibri" w:hAnsi="Calibri" w:cs="Calibri"/>
          <w:sz w:val="26"/>
          <w:szCs w:val="26"/>
          <w:lang w:val="hy-AM"/>
        </w:rPr>
        <w:t>46-47</w:t>
      </w:r>
    </w:p>
    <w:p w14:paraId="48F70792" w14:textId="77777777" w:rsidR="00F17489" w:rsidRPr="000D6086" w:rsidRDefault="00F17489" w:rsidP="00F17489">
      <w:pPr>
        <w:rPr>
          <w:rFonts w:ascii="Calibri" w:hAnsi="Calibri" w:cs="Calibri"/>
          <w:b/>
          <w:color w:val="000000" w:themeColor="text1"/>
          <w:sz w:val="24"/>
          <w:szCs w:val="24"/>
          <w:lang w:val="hy-AM"/>
        </w:rPr>
      </w:pPr>
      <w:r w:rsidRPr="000D6086">
        <w:rPr>
          <w:rFonts w:ascii="Calibri" w:hAnsi="Calibri" w:cs="Calibri"/>
          <w:b/>
          <w:color w:val="000000" w:themeColor="text1"/>
          <w:sz w:val="24"/>
          <w:szCs w:val="24"/>
          <w:lang w:val="hy-AM"/>
        </w:rPr>
        <w:t>MSG comments</w:t>
      </w:r>
    </w:p>
    <w:p w14:paraId="23B82E16" w14:textId="4B05DBF4" w:rsidR="00F17489" w:rsidRPr="000D6086" w:rsidRDefault="00F17489" w:rsidP="00F17489">
      <w:pPr>
        <w:spacing w:beforeLines="80" w:before="192" w:afterLines="80" w:after="192"/>
        <w:ind w:firstLine="720"/>
        <w:jc w:val="both"/>
        <w:rPr>
          <w:rFonts w:ascii="Calibri" w:eastAsiaTheme="majorEastAsia" w:hAnsi="Calibri" w:cs="Calibri"/>
          <w:i/>
          <w:color w:val="000000" w:themeColor="text1"/>
          <w:sz w:val="24"/>
          <w:szCs w:val="24"/>
          <w:lang w:val="hy-AM"/>
        </w:rPr>
      </w:pPr>
      <w:r w:rsidRPr="000D6086">
        <w:rPr>
          <w:rFonts w:ascii="Calibri" w:eastAsiaTheme="majorEastAsia" w:hAnsi="Calibri" w:cs="Calibri"/>
          <w:i/>
          <w:color w:val="000000" w:themeColor="text1"/>
          <w:sz w:val="24"/>
          <w:szCs w:val="24"/>
          <w:lang w:val="hy-AM"/>
        </w:rPr>
        <w:t>The draft assessment report states that</w:t>
      </w:r>
      <w:r w:rsidR="00015613" w:rsidRPr="000D6086">
        <w:rPr>
          <w:rFonts w:ascii="Calibri" w:eastAsiaTheme="majorEastAsia" w:hAnsi="Calibri" w:cs="Calibri"/>
          <w:i/>
          <w:color w:val="000000" w:themeColor="text1"/>
          <w:sz w:val="24"/>
          <w:szCs w:val="24"/>
        </w:rPr>
        <w:t xml:space="preserve"> </w:t>
      </w:r>
      <w:r w:rsidRPr="000D6086">
        <w:rPr>
          <w:rFonts w:ascii="Calibri" w:eastAsiaTheme="majorEastAsia" w:hAnsi="Calibri" w:cs="Calibri"/>
          <w:i/>
          <w:color w:val="000000" w:themeColor="text1"/>
          <w:sz w:val="24"/>
          <w:szCs w:val="24"/>
          <w:lang w:val="hy-AM"/>
        </w:rPr>
        <w:t xml:space="preserve"> </w:t>
      </w:r>
      <w:r w:rsidR="00015613" w:rsidRPr="000D6086">
        <w:rPr>
          <w:rFonts w:ascii="Calibri" w:eastAsiaTheme="majorEastAsia" w:hAnsi="Calibri" w:cs="Calibri"/>
          <w:i/>
          <w:color w:val="000000" w:themeColor="text1"/>
          <w:sz w:val="24"/>
          <w:szCs w:val="24"/>
        </w:rPr>
        <w:t>“</w:t>
      </w:r>
      <w:r w:rsidRPr="000D6086">
        <w:rPr>
          <w:rFonts w:ascii="Calibri" w:eastAsiaTheme="majorEastAsia" w:hAnsi="Calibri" w:cs="Calibri"/>
          <w:i/>
          <w:color w:val="000000" w:themeColor="text1"/>
          <w:sz w:val="24"/>
          <w:szCs w:val="24"/>
          <w:lang w:val="hy-AM"/>
        </w:rPr>
        <w:t>In accordance with Requirement 4.9, Armenia is required to provide a statement attesting to the fact that there were no elements discovered during the data collection and reconciliation process that would raise questions about the comprehensiveness and reliability of the reconciled financial data. To strengthen implementation of Requirement 4.9, Armenia is encouraged to develop a government audits database and ensure that all material companies submit audited financial statements</w:t>
      </w:r>
      <w:r w:rsidR="00015613" w:rsidRPr="000D6086">
        <w:rPr>
          <w:rFonts w:ascii="Calibri" w:eastAsiaTheme="majorEastAsia" w:hAnsi="Calibri" w:cs="Calibri"/>
          <w:i/>
          <w:color w:val="000000" w:themeColor="text1"/>
          <w:sz w:val="24"/>
          <w:szCs w:val="24"/>
        </w:rPr>
        <w:t>”.</w:t>
      </w:r>
    </w:p>
    <w:p w14:paraId="171CA0A0" w14:textId="062CAA52" w:rsidR="00545132" w:rsidRPr="000D6086" w:rsidRDefault="00545132" w:rsidP="00545132">
      <w:pPr>
        <w:pStyle w:val="mcntmsonormal"/>
        <w:spacing w:before="269" w:line="254" w:lineRule="atLeast"/>
        <w:jc w:val="both"/>
        <w:rPr>
          <w:rFonts w:ascii="Calibri" w:hAnsi="Calibri" w:cs="Calibri"/>
          <w:color w:val="222222"/>
          <w:lang w:val="hy-AM"/>
        </w:rPr>
      </w:pPr>
      <w:r w:rsidRPr="000D6086">
        <w:rPr>
          <w:rFonts w:ascii="Calibri" w:hAnsi="Calibri" w:cs="Calibri"/>
          <w:color w:val="222222"/>
          <w:lang w:val="hy-AM"/>
        </w:rPr>
        <w:t>We would like to inform you that according to the Law of the Republic of Armenia "On Accounting"</w:t>
      </w:r>
    </w:p>
    <w:p w14:paraId="404AE07C" w14:textId="6B29B0EF" w:rsidR="00545132" w:rsidRPr="000D6086" w:rsidRDefault="00545132" w:rsidP="00545132">
      <w:pPr>
        <w:pStyle w:val="mcntmsonormal"/>
        <w:spacing w:before="269" w:line="254" w:lineRule="atLeast"/>
        <w:jc w:val="both"/>
        <w:rPr>
          <w:rFonts w:ascii="Calibri" w:hAnsi="Calibri" w:cs="Calibri"/>
          <w:color w:val="222222"/>
          <w:lang w:val="hy-AM"/>
        </w:rPr>
      </w:pPr>
      <w:r w:rsidRPr="000D6086">
        <w:rPr>
          <w:rFonts w:ascii="Calibri" w:hAnsi="Calibri" w:cs="Calibri"/>
          <w:color w:val="222222"/>
          <w:lang w:val="hy-AM"/>
        </w:rPr>
        <w:t xml:space="preserve">Article 26 - the financial reports of the following organizations and groups are subject to mandatory audit: </w:t>
      </w:r>
      <w:r w:rsidR="001E77E7" w:rsidRPr="000D6086">
        <w:rPr>
          <w:rFonts w:ascii="Calibri" w:hAnsi="Calibri" w:cs="Calibri"/>
          <w:color w:val="222222"/>
        </w:rPr>
        <w:t xml:space="preserve">the </w:t>
      </w:r>
      <w:r w:rsidRPr="000D6086">
        <w:rPr>
          <w:rFonts w:ascii="Calibri" w:hAnsi="Calibri" w:cs="Calibri"/>
          <w:color w:val="222222"/>
          <w:lang w:val="hy-AM"/>
        </w:rPr>
        <w:t xml:space="preserve">public interest </w:t>
      </w:r>
      <w:r w:rsidR="001C622B" w:rsidRPr="000D6086">
        <w:rPr>
          <w:rFonts w:ascii="Calibri" w:hAnsi="Calibri" w:cs="Calibri"/>
          <w:color w:val="222222"/>
        </w:rPr>
        <w:t>entities</w:t>
      </w:r>
      <w:r w:rsidRPr="000D6086">
        <w:rPr>
          <w:rFonts w:ascii="Calibri" w:hAnsi="Calibri" w:cs="Calibri"/>
          <w:color w:val="222222"/>
          <w:lang w:val="hy-AM"/>
        </w:rPr>
        <w:t xml:space="preserve"> and large </w:t>
      </w:r>
      <w:r w:rsidR="007C0F21" w:rsidRPr="000D6086">
        <w:rPr>
          <w:rFonts w:ascii="Calibri" w:hAnsi="Calibri" w:cs="Calibri"/>
          <w:color w:val="222222"/>
        </w:rPr>
        <w:t>entities,</w:t>
      </w:r>
      <w:r w:rsidRPr="000D6086">
        <w:rPr>
          <w:rFonts w:ascii="Calibri" w:hAnsi="Calibri" w:cs="Calibri"/>
          <w:color w:val="222222"/>
          <w:lang w:val="hy-AM"/>
        </w:rPr>
        <w:t xml:space="preserve"> </w:t>
      </w:r>
      <w:r w:rsidR="001E77E7" w:rsidRPr="000D6086">
        <w:rPr>
          <w:rFonts w:ascii="Calibri" w:hAnsi="Calibri" w:cs="Calibri"/>
          <w:color w:val="222222"/>
        </w:rPr>
        <w:t xml:space="preserve">the </w:t>
      </w:r>
      <w:r w:rsidRPr="000D6086">
        <w:rPr>
          <w:rFonts w:ascii="Calibri" w:hAnsi="Calibri" w:cs="Calibri"/>
          <w:color w:val="222222"/>
          <w:lang w:val="hy-AM"/>
        </w:rPr>
        <w:t xml:space="preserve">medium </w:t>
      </w:r>
      <w:r w:rsidR="007C0F21" w:rsidRPr="000D6086">
        <w:rPr>
          <w:rFonts w:ascii="Calibri" w:hAnsi="Calibri" w:cs="Calibri"/>
          <w:color w:val="222222"/>
        </w:rPr>
        <w:t>entities</w:t>
      </w:r>
      <w:r w:rsidRPr="000D6086">
        <w:rPr>
          <w:rFonts w:ascii="Calibri" w:hAnsi="Calibri" w:cs="Calibri"/>
          <w:color w:val="222222"/>
          <w:lang w:val="hy-AM"/>
        </w:rPr>
        <w:t xml:space="preserve">, </w:t>
      </w:r>
      <w:r w:rsidR="001E77E7" w:rsidRPr="000D6086">
        <w:rPr>
          <w:rFonts w:ascii="Calibri" w:hAnsi="Calibri" w:cs="Calibri"/>
          <w:color w:val="222222"/>
        </w:rPr>
        <w:t xml:space="preserve">the </w:t>
      </w:r>
      <w:r w:rsidRPr="000D6086">
        <w:rPr>
          <w:rFonts w:ascii="Calibri" w:hAnsi="Calibri" w:cs="Calibri"/>
          <w:color w:val="222222"/>
          <w:lang w:val="hy-AM"/>
        </w:rPr>
        <w:t xml:space="preserve">group whose parent organization is a public interest </w:t>
      </w:r>
      <w:r w:rsidR="00146C30" w:rsidRPr="000D6086">
        <w:rPr>
          <w:rFonts w:ascii="Calibri" w:hAnsi="Calibri" w:cs="Calibri"/>
          <w:color w:val="222222"/>
        </w:rPr>
        <w:t>entity</w:t>
      </w:r>
      <w:r w:rsidRPr="000D6086">
        <w:rPr>
          <w:rFonts w:ascii="Calibri" w:hAnsi="Calibri" w:cs="Calibri"/>
          <w:color w:val="222222"/>
          <w:lang w:val="hy-AM"/>
        </w:rPr>
        <w:t>, and large groups, medium groups.</w:t>
      </w:r>
    </w:p>
    <w:p w14:paraId="1392BE08" w14:textId="5FD70BDF" w:rsidR="00545132" w:rsidRPr="000D6086" w:rsidRDefault="00545132" w:rsidP="00545132">
      <w:pPr>
        <w:pStyle w:val="mcntmsonormal"/>
        <w:spacing w:before="269" w:line="254" w:lineRule="atLeast"/>
        <w:jc w:val="both"/>
        <w:rPr>
          <w:rFonts w:ascii="Calibri" w:hAnsi="Calibri" w:cs="Calibri"/>
          <w:color w:val="222222"/>
          <w:lang w:val="hy-AM"/>
        </w:rPr>
      </w:pPr>
      <w:r w:rsidRPr="000D6086">
        <w:rPr>
          <w:rFonts w:ascii="Calibri" w:hAnsi="Calibri" w:cs="Calibri"/>
          <w:color w:val="222222"/>
          <w:lang w:val="hy-AM"/>
        </w:rPr>
        <w:lastRenderedPageBreak/>
        <w:t>Article 27-  all organizations and groups, except for small organizations and groups and micro-organizations, are required to publish annual financial statements</w:t>
      </w:r>
      <w:r w:rsidR="000E7E69" w:rsidRPr="000D6086">
        <w:rPr>
          <w:rFonts w:ascii="Calibri" w:hAnsi="Calibri" w:cs="Calibri"/>
          <w:color w:val="222222"/>
          <w:lang w:val="hy-AM"/>
        </w:rPr>
        <w:t>.</w:t>
      </w:r>
      <w:r w:rsidR="000130CA" w:rsidRPr="000D6086">
        <w:rPr>
          <w:rFonts w:ascii="Calibri" w:hAnsi="Calibri" w:cs="Calibri"/>
        </w:rPr>
        <w:t xml:space="preserve"> </w:t>
      </w:r>
      <w:r w:rsidR="000130CA" w:rsidRPr="000D6086">
        <w:rPr>
          <w:rFonts w:ascii="Calibri" w:hAnsi="Calibri" w:cs="Calibri"/>
          <w:color w:val="222222"/>
          <w:lang w:val="hy-AM"/>
        </w:rPr>
        <w:t>The organizations and groups (the parent organization of the group) subject to audit in accordance to  the same law and other laws,  are obliged to publish annual financial statements only after being audited.</w:t>
      </w:r>
      <w:r w:rsidRPr="000D6086">
        <w:rPr>
          <w:rFonts w:ascii="Calibri" w:hAnsi="Calibri" w:cs="Calibri"/>
          <w:color w:val="222222"/>
          <w:lang w:val="hy-AM"/>
        </w:rPr>
        <w:t>The financial statements of the mentioned organizations and groups are subject to publication with the auditor's report. Financial statements published without an auditor's opinion, as well as incomplete ones, are considered unpublished.</w:t>
      </w:r>
    </w:p>
    <w:p w14:paraId="14A97E3F" w14:textId="77777777" w:rsidR="000E7E69" w:rsidRPr="000D6086" w:rsidRDefault="000E7E69" w:rsidP="000E7E69">
      <w:pPr>
        <w:pStyle w:val="mcntmsonormal"/>
        <w:spacing w:before="269" w:line="254" w:lineRule="atLeast"/>
        <w:jc w:val="both"/>
        <w:rPr>
          <w:rFonts w:ascii="Calibri" w:hAnsi="Calibri" w:cs="Calibri"/>
          <w:color w:val="222222"/>
          <w:lang w:val="hy-AM"/>
        </w:rPr>
      </w:pPr>
      <w:r w:rsidRPr="000D6086">
        <w:rPr>
          <w:rFonts w:ascii="Calibri" w:hAnsi="Calibri" w:cs="Calibri"/>
          <w:color w:val="222222"/>
          <w:lang w:val="hy-AM"/>
        </w:rPr>
        <w:t>An entity whose financial statements are required to be published by law may do so by:</w:t>
      </w:r>
    </w:p>
    <w:p w14:paraId="5B770753" w14:textId="77777777" w:rsidR="000E7E69" w:rsidRPr="000D6086" w:rsidRDefault="000E7E69" w:rsidP="000E7E69">
      <w:pPr>
        <w:pStyle w:val="mcntmsonormal"/>
        <w:spacing w:before="269" w:line="254" w:lineRule="atLeast"/>
        <w:jc w:val="both"/>
        <w:rPr>
          <w:rFonts w:ascii="Calibri" w:hAnsi="Calibri" w:cs="Calibri"/>
          <w:color w:val="222222"/>
          <w:lang w:val="hy-AM"/>
        </w:rPr>
      </w:pPr>
      <w:r w:rsidRPr="000D6086">
        <w:rPr>
          <w:rFonts w:ascii="Sylfaen" w:hAnsi="Sylfaen" w:cs="Sylfaen"/>
          <w:color w:val="222222"/>
          <w:lang w:val="hy-AM"/>
        </w:rPr>
        <w:t>օ</w:t>
      </w:r>
      <w:r w:rsidRPr="000D6086">
        <w:rPr>
          <w:rFonts w:ascii="Calibri" w:hAnsi="Calibri" w:cs="Calibri"/>
          <w:color w:val="222222"/>
          <w:lang w:val="hy-AM"/>
        </w:rPr>
        <w:t xml:space="preserve">n its website or at http://www.azdarar.am or on the official website of the mass media registered in RA. </w:t>
      </w:r>
    </w:p>
    <w:p w14:paraId="3395245D" w14:textId="4B3C1824" w:rsidR="000E7E69" w:rsidRPr="000D6086" w:rsidRDefault="000E7E69" w:rsidP="000E7E69">
      <w:pPr>
        <w:pStyle w:val="mcntmsonormal"/>
        <w:spacing w:before="269" w:line="254" w:lineRule="atLeast"/>
        <w:jc w:val="both"/>
        <w:rPr>
          <w:rFonts w:ascii="Calibri" w:hAnsi="Calibri" w:cs="Calibri"/>
          <w:color w:val="222222"/>
          <w:lang w:val="hy-AM"/>
        </w:rPr>
      </w:pPr>
      <w:r w:rsidRPr="000D6086">
        <w:rPr>
          <w:rFonts w:ascii="Calibri" w:hAnsi="Calibri" w:cs="Calibri"/>
          <w:color w:val="222222"/>
          <w:lang w:val="hy-AM"/>
        </w:rPr>
        <w:t>Moreover, if the organization has published the financial reports on its website or on the official website of the mass media registered in the Republic of Armenia, then the link/address of the website of the publication of the financial report must also be published on the website http://www.azdarar.am</w:t>
      </w:r>
    </w:p>
    <w:p w14:paraId="0C38BF26" w14:textId="6C4E1E05" w:rsidR="000130CA" w:rsidRPr="000D6086" w:rsidRDefault="000130CA" w:rsidP="000130CA">
      <w:pPr>
        <w:pStyle w:val="mcntmsonormal"/>
        <w:spacing w:before="269" w:beforeAutospacing="0" w:after="160" w:afterAutospacing="0" w:line="254" w:lineRule="atLeast"/>
        <w:jc w:val="both"/>
        <w:rPr>
          <w:rFonts w:ascii="Calibri" w:hAnsi="Calibri" w:cs="Calibri"/>
          <w:color w:val="222222"/>
          <w:lang w:val="hy-AM"/>
        </w:rPr>
      </w:pPr>
      <w:bookmarkStart w:id="2" w:name="_Toc40282156"/>
      <w:r w:rsidRPr="000D6086">
        <w:rPr>
          <w:rFonts w:ascii="Calibri" w:hAnsi="Calibri" w:cs="Calibri"/>
          <w:color w:val="222222"/>
          <w:lang w:val="hy-AM"/>
        </w:rPr>
        <w:t>Failure to submit financial reports to state bodies in the order and terms prescribed by</w:t>
      </w:r>
      <w:r w:rsidR="002E451C" w:rsidRPr="000D6086">
        <w:rPr>
          <w:rFonts w:ascii="Calibri" w:hAnsi="Calibri" w:cs="Calibri"/>
          <w:color w:val="222222"/>
        </w:rPr>
        <w:t xml:space="preserve"> the </w:t>
      </w:r>
      <w:r w:rsidR="002E451C" w:rsidRPr="000D6086">
        <w:rPr>
          <w:rFonts w:ascii="Calibri" w:hAnsi="Calibri" w:cs="Calibri"/>
          <w:color w:val="222222"/>
          <w:lang w:val="hy-AM"/>
        </w:rPr>
        <w:t xml:space="preserve"> Article 169.2 of the Code o</w:t>
      </w:r>
      <w:r w:rsidR="001E77E7" w:rsidRPr="000D6086">
        <w:rPr>
          <w:rFonts w:ascii="Calibri" w:hAnsi="Calibri" w:cs="Calibri"/>
          <w:color w:val="222222"/>
        </w:rPr>
        <w:t>n</w:t>
      </w:r>
      <w:r w:rsidR="002E451C" w:rsidRPr="000D6086">
        <w:rPr>
          <w:rFonts w:ascii="Calibri" w:hAnsi="Calibri" w:cs="Calibri"/>
          <w:color w:val="222222"/>
          <w:lang w:val="hy-AM"/>
        </w:rPr>
        <w:t xml:space="preserve"> Administrative Offences</w:t>
      </w:r>
      <w:r w:rsidRPr="000D6086">
        <w:rPr>
          <w:rFonts w:ascii="Calibri" w:hAnsi="Calibri" w:cs="Calibri"/>
          <w:color w:val="222222"/>
          <w:lang w:val="hy-AM"/>
        </w:rPr>
        <w:t xml:space="preserve"> </w:t>
      </w:r>
      <w:r w:rsidR="002E451C" w:rsidRPr="000D6086">
        <w:rPr>
          <w:rFonts w:ascii="Calibri" w:hAnsi="Calibri" w:cs="Calibri"/>
          <w:color w:val="222222"/>
          <w:lang w:val="hy-AM"/>
        </w:rPr>
        <w:t xml:space="preserve">or not to publish them </w:t>
      </w:r>
      <w:r w:rsidR="00E86FD5" w:rsidRPr="000D6086">
        <w:rPr>
          <w:rFonts w:ascii="Calibri" w:hAnsi="Calibri" w:cs="Calibri"/>
          <w:color w:val="222222"/>
        </w:rPr>
        <w:t xml:space="preserve">in the order and terms prescribed by </w:t>
      </w:r>
      <w:r w:rsidRPr="000D6086">
        <w:rPr>
          <w:rFonts w:ascii="Calibri" w:hAnsi="Calibri" w:cs="Calibri"/>
          <w:color w:val="222222"/>
          <w:lang w:val="hy-AM"/>
        </w:rPr>
        <w:t>law  shall result in the imposition of a fine in the amount of fifty times the minimum salary.</w:t>
      </w:r>
      <w:r w:rsidR="002E451C" w:rsidRPr="000D6086">
        <w:rPr>
          <w:rFonts w:ascii="Calibri" w:hAnsi="Calibri" w:cs="Calibri"/>
          <w:color w:val="222222"/>
          <w:lang w:val="hy-AM"/>
        </w:rPr>
        <w:t xml:space="preserve"> </w:t>
      </w:r>
      <w:r w:rsidRPr="000D6086">
        <w:rPr>
          <w:rFonts w:ascii="Calibri" w:hAnsi="Calibri" w:cs="Calibri"/>
          <w:color w:val="222222"/>
          <w:lang w:val="hy-AM"/>
        </w:rPr>
        <w:t>Failure to submit financial reports to state bodies or to publish them in accordance with the law within thirty days after the date of imposition of the fine  shall result in the imposition of a fine in the amount of five hundred times the minimum wage.</w:t>
      </w:r>
    </w:p>
    <w:p w14:paraId="0BE28880" w14:textId="0A254C69" w:rsidR="000E7E69" w:rsidRPr="000D6086" w:rsidRDefault="00DC13EB" w:rsidP="000130CA">
      <w:pPr>
        <w:pStyle w:val="mcntmsonormal"/>
        <w:spacing w:before="269" w:beforeAutospacing="0" w:after="160" w:afterAutospacing="0" w:line="254" w:lineRule="atLeast"/>
        <w:jc w:val="both"/>
        <w:rPr>
          <w:rFonts w:ascii="Calibri" w:hAnsi="Calibri" w:cs="Calibri"/>
          <w:color w:val="222222"/>
          <w:lang w:val="hy-AM"/>
        </w:rPr>
      </w:pPr>
      <w:r w:rsidRPr="000D6086">
        <w:rPr>
          <w:rFonts w:ascii="Calibri" w:hAnsi="Calibri" w:cs="Calibri"/>
          <w:color w:val="222222"/>
          <w:lang w:val="hy-AM"/>
        </w:rPr>
        <w:t>In addition to the above, according to part 2 of Article 23 of the Law, the financial reports are signed by the head of the organization and the chief accountant. Moreover, in accordance with Article 10, part 1 of the Law, only expert accountants and auditors can work as chief accountants in public interest entities, large entities, and medium-sized oentities.</w:t>
      </w:r>
    </w:p>
    <w:p w14:paraId="0A4928A8" w14:textId="77777777" w:rsidR="000E7E69" w:rsidRPr="000D6086" w:rsidRDefault="000E7E69" w:rsidP="000130CA">
      <w:pPr>
        <w:pStyle w:val="mcntmsonormal"/>
        <w:spacing w:before="269" w:beforeAutospacing="0" w:after="160" w:afterAutospacing="0" w:line="254" w:lineRule="atLeast"/>
        <w:jc w:val="both"/>
        <w:rPr>
          <w:rFonts w:ascii="Calibri" w:hAnsi="Calibri" w:cs="Calibri"/>
          <w:color w:val="222222"/>
          <w:lang w:val="hy-AM"/>
        </w:rPr>
      </w:pPr>
    </w:p>
    <w:p w14:paraId="32574979" w14:textId="77777777" w:rsidR="000130CA" w:rsidRPr="000D6086" w:rsidRDefault="000130CA" w:rsidP="000130CA">
      <w:pPr>
        <w:pStyle w:val="mcntmsonormal"/>
        <w:spacing w:before="269" w:beforeAutospacing="0" w:after="160" w:afterAutospacing="0" w:line="254" w:lineRule="atLeast"/>
        <w:jc w:val="both"/>
        <w:rPr>
          <w:rFonts w:ascii="Calibri" w:hAnsi="Calibri" w:cs="Calibri"/>
          <w:color w:val="222222"/>
          <w:lang w:val="hy-AM"/>
        </w:rPr>
      </w:pPr>
    </w:p>
    <w:p w14:paraId="74EECCEB" w14:textId="28019C78" w:rsidR="000D6EC7" w:rsidRPr="000D6086" w:rsidRDefault="00F17489" w:rsidP="00015613">
      <w:pPr>
        <w:pStyle w:val="Heading1"/>
        <w:spacing w:beforeLines="80" w:before="192" w:afterLines="80" w:after="192" w:line="276" w:lineRule="auto"/>
        <w:jc w:val="both"/>
        <w:rPr>
          <w:rFonts w:ascii="Calibri" w:hAnsi="Calibri" w:cs="Calibri"/>
          <w:sz w:val="26"/>
          <w:szCs w:val="26"/>
          <w:lang w:val="hy-AM"/>
        </w:rPr>
      </w:pPr>
      <w:r w:rsidRPr="000D6086">
        <w:rPr>
          <w:rFonts w:ascii="Calibri" w:hAnsi="Calibri" w:cs="Calibri"/>
          <w:sz w:val="26"/>
          <w:szCs w:val="26"/>
          <w:lang w:val="hy-AM"/>
        </w:rPr>
        <w:lastRenderedPageBreak/>
        <w:t>COMPONENT</w:t>
      </w:r>
      <w:r w:rsidR="001E7A9C" w:rsidRPr="000D6086">
        <w:rPr>
          <w:rFonts w:ascii="Calibri" w:hAnsi="Calibri" w:cs="Calibri"/>
          <w:sz w:val="26"/>
          <w:szCs w:val="26"/>
          <w:lang w:val="hy-AM"/>
        </w:rPr>
        <w:t>:</w:t>
      </w:r>
      <w:r w:rsidR="00FF7328" w:rsidRPr="000D6086">
        <w:rPr>
          <w:rFonts w:ascii="Calibri" w:hAnsi="Calibri" w:cs="Calibri"/>
          <w:sz w:val="26"/>
          <w:szCs w:val="26"/>
          <w:lang w:val="hy-AM"/>
        </w:rPr>
        <w:t xml:space="preserve"> </w:t>
      </w:r>
      <w:r w:rsidR="001E7A9C" w:rsidRPr="000D6086">
        <w:rPr>
          <w:rFonts w:ascii="Calibri" w:hAnsi="Calibri" w:cs="Calibri"/>
          <w:sz w:val="26"/>
          <w:szCs w:val="26"/>
          <w:lang w:val="hy-AM"/>
        </w:rPr>
        <w:t>Transparency</w:t>
      </w:r>
      <w:r w:rsidR="00E370ED" w:rsidRPr="000D6086">
        <w:rPr>
          <w:rFonts w:ascii="Calibri" w:hAnsi="Calibri" w:cs="Calibri"/>
          <w:sz w:val="26"/>
          <w:szCs w:val="26"/>
          <w:lang w:val="hy-AM"/>
        </w:rPr>
        <w:t xml:space="preserve">, </w:t>
      </w:r>
      <w:r w:rsidRPr="000D6086">
        <w:rPr>
          <w:rFonts w:ascii="Calibri" w:hAnsi="Calibri" w:cs="Calibri"/>
          <w:sz w:val="26"/>
          <w:szCs w:val="26"/>
          <w:lang w:val="hy-AM"/>
        </w:rPr>
        <w:t>Sector</w:t>
      </w:r>
      <w:r w:rsidR="001E7A9C" w:rsidRPr="000D6086">
        <w:rPr>
          <w:rFonts w:ascii="Calibri" w:hAnsi="Calibri" w:cs="Calibri"/>
          <w:sz w:val="26"/>
          <w:szCs w:val="26"/>
          <w:lang w:val="hy-AM"/>
        </w:rPr>
        <w:t xml:space="preserve">: </w:t>
      </w:r>
      <w:r w:rsidR="00FF7328" w:rsidRPr="000D6086">
        <w:rPr>
          <w:rFonts w:ascii="Calibri" w:hAnsi="Calibri" w:cs="Calibri"/>
          <w:sz w:val="26"/>
          <w:szCs w:val="26"/>
          <w:lang w:val="hy-AM"/>
        </w:rPr>
        <w:t xml:space="preserve"> </w:t>
      </w:r>
      <w:bookmarkStart w:id="3" w:name="_Hlk155799167"/>
      <w:r w:rsidR="001E7A9C" w:rsidRPr="000D6086">
        <w:rPr>
          <w:rFonts w:ascii="Calibri" w:hAnsi="Calibri" w:cs="Calibri"/>
          <w:sz w:val="26"/>
          <w:szCs w:val="26"/>
          <w:lang w:val="hy-AM"/>
        </w:rPr>
        <w:t>Subnational contributions</w:t>
      </w:r>
      <w:r w:rsidR="00E370ED" w:rsidRPr="000D6086">
        <w:rPr>
          <w:rFonts w:ascii="Calibri" w:hAnsi="Calibri" w:cs="Calibri"/>
          <w:sz w:val="26"/>
          <w:szCs w:val="26"/>
          <w:lang w:val="hy-AM"/>
        </w:rPr>
        <w:t xml:space="preserve">, </w:t>
      </w:r>
      <w:bookmarkEnd w:id="3"/>
      <w:r w:rsidRPr="000D6086">
        <w:rPr>
          <w:rFonts w:ascii="Calibri" w:hAnsi="Calibri" w:cs="Calibri"/>
          <w:sz w:val="26"/>
          <w:szCs w:val="26"/>
          <w:lang w:val="hy-AM"/>
        </w:rPr>
        <w:t xml:space="preserve">EITI requirement: </w:t>
      </w:r>
      <w:r w:rsidR="00C95C71" w:rsidRPr="000D6086">
        <w:rPr>
          <w:rFonts w:ascii="Calibri" w:hAnsi="Calibri" w:cs="Calibri"/>
          <w:sz w:val="26"/>
          <w:szCs w:val="26"/>
          <w:lang w:val="hy-AM"/>
        </w:rPr>
        <w:t xml:space="preserve"> </w:t>
      </w:r>
      <w:r w:rsidR="001E7A9C" w:rsidRPr="000D6086">
        <w:rPr>
          <w:rFonts w:ascii="Calibri" w:hAnsi="Calibri" w:cs="Calibri"/>
          <w:sz w:val="26"/>
          <w:szCs w:val="26"/>
          <w:lang w:val="hy-AM"/>
        </w:rPr>
        <w:t>Social and environmental expenditures (#6.1</w:t>
      </w:r>
      <w:bookmarkEnd w:id="2"/>
      <w:r w:rsidR="005E6807" w:rsidRPr="000D6086">
        <w:rPr>
          <w:rFonts w:ascii="Calibri" w:hAnsi="Calibri" w:cs="Calibri"/>
          <w:sz w:val="26"/>
          <w:szCs w:val="26"/>
          <w:lang w:val="hy-AM"/>
        </w:rPr>
        <w:t>), pages</w:t>
      </w:r>
      <w:r w:rsidR="001E7A9C" w:rsidRPr="000D6086">
        <w:rPr>
          <w:rFonts w:ascii="Calibri" w:hAnsi="Calibri" w:cs="Calibri"/>
          <w:sz w:val="26"/>
          <w:szCs w:val="26"/>
          <w:lang w:val="hy-AM"/>
        </w:rPr>
        <w:t>:</w:t>
      </w:r>
      <w:r w:rsidR="000D6EC7" w:rsidRPr="000D6086">
        <w:rPr>
          <w:rFonts w:ascii="Calibri" w:hAnsi="Calibri" w:cs="Calibri"/>
          <w:sz w:val="26"/>
          <w:szCs w:val="26"/>
          <w:lang w:val="hy-AM"/>
        </w:rPr>
        <w:t xml:space="preserve"> </w:t>
      </w:r>
      <w:r w:rsidR="00FD07C7" w:rsidRPr="000D6086">
        <w:rPr>
          <w:rFonts w:ascii="Calibri" w:hAnsi="Calibri" w:cs="Calibri"/>
          <w:sz w:val="26"/>
          <w:szCs w:val="26"/>
          <w:lang w:val="hy-AM"/>
        </w:rPr>
        <w:t>52-53</w:t>
      </w:r>
    </w:p>
    <w:p w14:paraId="17E5017E" w14:textId="42C6DC82" w:rsidR="00167530" w:rsidRPr="000D6086" w:rsidRDefault="00F17489" w:rsidP="00B315AF">
      <w:pPr>
        <w:pStyle w:val="Heading1"/>
        <w:spacing w:beforeLines="80" w:before="192" w:afterLines="80" w:after="192"/>
        <w:ind w:firstLine="720"/>
        <w:jc w:val="both"/>
        <w:rPr>
          <w:rFonts w:ascii="Calibri" w:hAnsi="Calibri" w:cs="Calibri"/>
          <w:i/>
          <w:color w:val="000000" w:themeColor="text1"/>
          <w:sz w:val="24"/>
          <w:szCs w:val="24"/>
          <w:lang w:val="hy-AM"/>
        </w:rPr>
      </w:pPr>
      <w:bookmarkStart w:id="4" w:name="_Toc40282158"/>
      <w:r w:rsidRPr="000D6086">
        <w:rPr>
          <w:rFonts w:ascii="Calibri" w:hAnsi="Calibri" w:cs="Calibri"/>
          <w:i/>
          <w:color w:val="000000" w:themeColor="text1"/>
          <w:sz w:val="24"/>
          <w:szCs w:val="24"/>
          <w:lang w:val="hy-AM"/>
        </w:rPr>
        <w:t xml:space="preserve">The draft assessment report states that  </w:t>
      </w:r>
      <w:r w:rsidR="00015613" w:rsidRPr="000D6086">
        <w:rPr>
          <w:rFonts w:ascii="Calibri" w:hAnsi="Calibri" w:cs="Calibri"/>
          <w:i/>
          <w:color w:val="000000" w:themeColor="text1"/>
          <w:sz w:val="24"/>
          <w:szCs w:val="24"/>
        </w:rPr>
        <w:t>“</w:t>
      </w:r>
      <w:r w:rsidRPr="000D6086">
        <w:rPr>
          <w:rFonts w:ascii="Calibri" w:hAnsi="Calibri" w:cs="Calibri"/>
          <w:i/>
          <w:color w:val="000000" w:themeColor="text1"/>
          <w:sz w:val="24"/>
          <w:szCs w:val="24"/>
          <w:lang w:val="hy-AM"/>
        </w:rPr>
        <w:t xml:space="preserve"> </w:t>
      </w:r>
      <w:r w:rsidR="004B6A39" w:rsidRPr="000D6086">
        <w:rPr>
          <w:rFonts w:ascii="Calibri" w:hAnsi="Calibri" w:cs="Calibri"/>
          <w:i/>
          <w:color w:val="000000" w:themeColor="text1"/>
          <w:sz w:val="24"/>
          <w:szCs w:val="24"/>
        </w:rPr>
        <w:t xml:space="preserve">In accordance with Requirement 6.1, Armenia is required to specify all non-government beneficiaries of mandatory social expenditures. To strengthen implementation, Armenia is encouraged to work with relevant government entities and mining companies to strengthen their systematic disclosures of social expenditures and environmental payments to government and expenditures to the benefit of third </w:t>
      </w:r>
      <w:r w:rsidR="00015613" w:rsidRPr="000D6086">
        <w:rPr>
          <w:rFonts w:ascii="Calibri" w:hAnsi="Calibri" w:cs="Calibri"/>
          <w:i/>
          <w:color w:val="000000" w:themeColor="text1"/>
          <w:sz w:val="24"/>
          <w:szCs w:val="24"/>
        </w:rPr>
        <w:t>parties”.</w:t>
      </w:r>
      <w:r w:rsidR="004B6A39" w:rsidRPr="000D6086">
        <w:rPr>
          <w:rFonts w:ascii="Calibri" w:hAnsi="Calibri" w:cs="Calibri"/>
          <w:i/>
          <w:color w:val="000000" w:themeColor="text1"/>
          <w:sz w:val="24"/>
          <w:szCs w:val="24"/>
        </w:rPr>
        <w:t xml:space="preserve">  </w:t>
      </w:r>
    </w:p>
    <w:bookmarkEnd w:id="4"/>
    <w:p w14:paraId="74804B72" w14:textId="18DCB2AC" w:rsidR="003C24B5" w:rsidRPr="000D6086" w:rsidRDefault="00DF76AD" w:rsidP="003C24B5">
      <w:pPr>
        <w:spacing w:beforeLines="80" w:before="192" w:afterLines="80" w:after="192"/>
        <w:ind w:firstLine="720"/>
        <w:jc w:val="both"/>
        <w:rPr>
          <w:rFonts w:ascii="Calibri" w:eastAsia="Franklin Gothic Book" w:hAnsi="Calibri" w:cs="Calibri"/>
          <w:sz w:val="24"/>
          <w:szCs w:val="24"/>
        </w:rPr>
      </w:pPr>
      <w:r w:rsidRPr="000D6086">
        <w:rPr>
          <w:rFonts w:ascii="Calibri" w:eastAsia="Franklin Gothic Book" w:hAnsi="Calibri" w:cs="Calibri"/>
          <w:sz w:val="24"/>
          <w:szCs w:val="24"/>
          <w:lang w:val="hy-AM"/>
        </w:rPr>
        <w:t xml:space="preserve">We </w:t>
      </w:r>
      <w:r w:rsidRPr="000D6086">
        <w:rPr>
          <w:rFonts w:ascii="Calibri" w:eastAsia="Franklin Gothic Book" w:hAnsi="Calibri" w:cs="Calibri"/>
          <w:sz w:val="24"/>
          <w:szCs w:val="24"/>
        </w:rPr>
        <w:t xml:space="preserve">would like to </w:t>
      </w:r>
      <w:r w:rsidRPr="000D6086">
        <w:rPr>
          <w:rFonts w:ascii="Calibri" w:eastAsia="Franklin Gothic Book" w:hAnsi="Calibri" w:cs="Calibri"/>
          <w:sz w:val="24"/>
          <w:szCs w:val="24"/>
          <w:lang w:val="hy-AM"/>
        </w:rPr>
        <w:t xml:space="preserve">inform you that a package of legislative amendments developed by the Ministry of Territorial Administration and Infrastructure of the Republic of Armenia is being distributed in accordance with the law. </w:t>
      </w:r>
      <w:r w:rsidR="003C24B5" w:rsidRPr="000D6086">
        <w:rPr>
          <w:rFonts w:ascii="Calibri" w:eastAsia="Franklin Gothic Book" w:hAnsi="Calibri" w:cs="Calibri"/>
          <w:sz w:val="24"/>
          <w:szCs w:val="24"/>
        </w:rPr>
        <w:t>This package includes</w:t>
      </w:r>
      <w:r w:rsidR="003C24B5" w:rsidRPr="000D6086">
        <w:rPr>
          <w:rFonts w:ascii="Calibri" w:eastAsia="Franklin Gothic Book" w:hAnsi="Calibri" w:cs="Calibri"/>
          <w:sz w:val="24"/>
          <w:szCs w:val="24"/>
          <w:lang w:val="hy-AM"/>
        </w:rPr>
        <w:t xml:space="preserve"> the following drafts:   "On Amendments to the Subsoil Code of the Republic of Armenia" (hereinafter referred to as "the Law"), "On Amendments to the Law "On Local </w:t>
      </w:r>
      <w:r w:rsidR="00146C30" w:rsidRPr="000D6086">
        <w:rPr>
          <w:rFonts w:ascii="Calibri" w:eastAsia="Franklin Gothic Book" w:hAnsi="Calibri" w:cs="Calibri"/>
          <w:sz w:val="24"/>
          <w:szCs w:val="24"/>
        </w:rPr>
        <w:t>Self-</w:t>
      </w:r>
      <w:r w:rsidR="003C24B5" w:rsidRPr="000D6086">
        <w:rPr>
          <w:rFonts w:ascii="Calibri" w:eastAsia="Franklin Gothic Book" w:hAnsi="Calibri" w:cs="Calibri"/>
          <w:sz w:val="24"/>
          <w:szCs w:val="24"/>
          <w:lang w:val="hy-AM"/>
        </w:rPr>
        <w:t xml:space="preserve">Government”, “On Amendments to the Law "On Local </w:t>
      </w:r>
      <w:r w:rsidR="00146C30" w:rsidRPr="000D6086">
        <w:rPr>
          <w:rFonts w:ascii="Calibri" w:eastAsia="Franklin Gothic Book" w:hAnsi="Calibri" w:cs="Calibri"/>
          <w:sz w:val="24"/>
          <w:szCs w:val="24"/>
        </w:rPr>
        <w:t>Self-</w:t>
      </w:r>
      <w:r w:rsidR="003C24B5" w:rsidRPr="000D6086">
        <w:rPr>
          <w:rFonts w:ascii="Calibri" w:eastAsia="Franklin Gothic Book" w:hAnsi="Calibri" w:cs="Calibri"/>
          <w:sz w:val="24"/>
          <w:szCs w:val="24"/>
          <w:lang w:val="hy-AM"/>
        </w:rPr>
        <w:t>Government in the City of Yerevan"</w:t>
      </w:r>
      <w:r w:rsidR="003C24B5" w:rsidRPr="000D6086">
        <w:rPr>
          <w:rFonts w:ascii="Calibri" w:eastAsia="Franklin Gothic Book" w:hAnsi="Calibri" w:cs="Calibri"/>
          <w:sz w:val="24"/>
          <w:szCs w:val="24"/>
        </w:rPr>
        <w:t>. The legislative amendments provide for a mechanism of uniform and fair payments to be paid by subsoil users to communities for social alleviation.</w:t>
      </w:r>
    </w:p>
    <w:p w14:paraId="4E6D1137" w14:textId="2954AAF0" w:rsidR="003C24B5" w:rsidRPr="000D6086" w:rsidRDefault="003C24B5" w:rsidP="003C24B5">
      <w:pPr>
        <w:spacing w:beforeLines="80" w:before="192" w:afterLines="80" w:after="192"/>
        <w:ind w:firstLine="720"/>
        <w:jc w:val="both"/>
        <w:rPr>
          <w:rFonts w:ascii="Calibri" w:eastAsia="Franklin Gothic Book" w:hAnsi="Calibri" w:cs="Calibri"/>
          <w:sz w:val="24"/>
          <w:szCs w:val="24"/>
          <w:lang w:val="hy-AM"/>
        </w:rPr>
      </w:pPr>
      <w:r w:rsidRPr="000D6086">
        <w:rPr>
          <w:rFonts w:ascii="Calibri" w:eastAsia="Franklin Gothic Book" w:hAnsi="Calibri" w:cs="Calibri"/>
          <w:sz w:val="24"/>
          <w:szCs w:val="24"/>
          <w:lang w:val="hy-AM"/>
        </w:rPr>
        <w:t xml:space="preserve">As a result of the planned changes, the person </w:t>
      </w:r>
      <w:r w:rsidRPr="000D6086">
        <w:rPr>
          <w:rFonts w:ascii="Calibri" w:eastAsia="Franklin Gothic Book" w:hAnsi="Calibri" w:cs="Calibri"/>
          <w:sz w:val="24"/>
          <w:szCs w:val="24"/>
        </w:rPr>
        <w:t>holding</w:t>
      </w:r>
      <w:r w:rsidRPr="000D6086">
        <w:rPr>
          <w:rFonts w:ascii="Calibri" w:eastAsia="Franklin Gothic Book" w:hAnsi="Calibri" w:cs="Calibri"/>
          <w:sz w:val="24"/>
          <w:szCs w:val="24"/>
          <w:lang w:val="hy-AM"/>
        </w:rPr>
        <w:t xml:space="preserve"> a mining permit is obliged to make payments to the community budget (</w:t>
      </w:r>
      <w:r w:rsidRPr="000D6086">
        <w:rPr>
          <w:rFonts w:ascii="Calibri" w:eastAsia="Franklin Gothic Book" w:hAnsi="Calibri" w:cs="Calibri"/>
          <w:sz w:val="24"/>
          <w:szCs w:val="24"/>
        </w:rPr>
        <w:t xml:space="preserve">fund’s </w:t>
      </w:r>
      <w:r w:rsidRPr="000D6086">
        <w:rPr>
          <w:rFonts w:ascii="Calibri" w:eastAsia="Franklin Gothic Book" w:hAnsi="Calibri" w:cs="Calibri"/>
          <w:sz w:val="24"/>
          <w:szCs w:val="24"/>
          <w:lang w:val="hy-AM"/>
        </w:rPr>
        <w:t>part) for social and economic development in accordance with the Subsoil Code of the Republic of Armenia. These funds can be used exclusively for community socio-economic development programmes.  At the same time, the head of the local administration must publish relevant reports on the implementation of socio-economic development projects.</w:t>
      </w:r>
    </w:p>
    <w:p w14:paraId="0FD4BFD3" w14:textId="77777777" w:rsidR="009D672A" w:rsidRPr="000D6086" w:rsidRDefault="009D672A" w:rsidP="009D672A">
      <w:pPr>
        <w:spacing w:beforeLines="80" w:before="192" w:afterLines="80" w:after="192"/>
        <w:ind w:firstLine="720"/>
        <w:jc w:val="both"/>
        <w:rPr>
          <w:rFonts w:ascii="Calibri" w:eastAsia="Franklin Gothic Book" w:hAnsi="Calibri" w:cs="Calibri"/>
          <w:sz w:val="24"/>
          <w:szCs w:val="24"/>
        </w:rPr>
      </w:pPr>
      <w:r w:rsidRPr="000D6086">
        <w:rPr>
          <w:rFonts w:ascii="Calibri" w:eastAsia="Franklin Gothic Book" w:hAnsi="Calibri" w:cs="Calibri"/>
          <w:sz w:val="24"/>
          <w:szCs w:val="24"/>
        </w:rPr>
        <w:t>The draft also provides that, within 24 months of the entry into force of the law, persons holding a mining permit at the time of the entry into force of the law, apply to the competent authority for a review, in accordance with the provisions of the law, of their obligations to provide social and economic support to the communities in the documents certifying their right to subsurface.</w:t>
      </w:r>
    </w:p>
    <w:p w14:paraId="7492D258" w14:textId="71B9953C" w:rsidR="009D672A" w:rsidRPr="000D6086" w:rsidRDefault="009D672A" w:rsidP="00A35E81">
      <w:pPr>
        <w:spacing w:beforeLines="80" w:before="192" w:afterLines="80" w:after="192"/>
        <w:ind w:firstLine="720"/>
        <w:jc w:val="both"/>
        <w:rPr>
          <w:rFonts w:ascii="Calibri" w:hAnsi="Calibri" w:cs="Calibri"/>
          <w:color w:val="333333"/>
          <w:sz w:val="24"/>
          <w:szCs w:val="24"/>
          <w:shd w:val="clear" w:color="auto" w:fill="FFFFFF"/>
          <w:lang w:val="af-ZA"/>
        </w:rPr>
      </w:pPr>
      <w:proofErr w:type="spellStart"/>
      <w:r w:rsidRPr="000D6086">
        <w:rPr>
          <w:rFonts w:ascii="Calibri" w:hAnsi="Calibri" w:cs="Calibri"/>
          <w:color w:val="333333"/>
          <w:sz w:val="24"/>
          <w:szCs w:val="24"/>
          <w:shd w:val="clear" w:color="auto" w:fill="FFFFFF"/>
          <w:lang w:val="af-ZA"/>
        </w:rPr>
        <w:t>After</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the</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adoption</w:t>
      </w:r>
      <w:proofErr w:type="spellEnd"/>
      <w:r w:rsidRPr="000D6086">
        <w:rPr>
          <w:rFonts w:ascii="Calibri" w:hAnsi="Calibri" w:cs="Calibri"/>
          <w:color w:val="333333"/>
          <w:sz w:val="24"/>
          <w:szCs w:val="24"/>
          <w:shd w:val="clear" w:color="auto" w:fill="FFFFFF"/>
          <w:lang w:val="af-ZA"/>
        </w:rPr>
        <w:t xml:space="preserve"> of </w:t>
      </w:r>
      <w:proofErr w:type="spellStart"/>
      <w:r w:rsidRPr="000D6086">
        <w:rPr>
          <w:rFonts w:ascii="Calibri" w:hAnsi="Calibri" w:cs="Calibri"/>
          <w:color w:val="333333"/>
          <w:sz w:val="24"/>
          <w:szCs w:val="24"/>
          <w:shd w:val="clear" w:color="auto" w:fill="FFFFFF"/>
          <w:lang w:val="af-ZA"/>
        </w:rPr>
        <w:t>the</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drafts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payments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to</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third</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parties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will</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be</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excluded</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from</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the</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mandatory</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social</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payments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to</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communities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made</w:t>
      </w:r>
      <w:proofErr w:type="spellEnd"/>
      <w:r w:rsidRPr="000D6086">
        <w:rPr>
          <w:rFonts w:ascii="Calibri" w:hAnsi="Calibri" w:cs="Calibri"/>
          <w:color w:val="333333"/>
          <w:sz w:val="24"/>
          <w:szCs w:val="24"/>
          <w:shd w:val="clear" w:color="auto" w:fill="FFFFFF"/>
          <w:lang w:val="af-ZA"/>
        </w:rPr>
        <w:t xml:space="preserve"> by </w:t>
      </w:r>
      <w:proofErr w:type="spellStart"/>
      <w:r w:rsidRPr="000D6086">
        <w:rPr>
          <w:rFonts w:ascii="Calibri" w:hAnsi="Calibri" w:cs="Calibri"/>
          <w:color w:val="333333"/>
          <w:sz w:val="24"/>
          <w:szCs w:val="24"/>
          <w:shd w:val="clear" w:color="auto" w:fill="FFFFFF"/>
          <w:lang w:val="af-ZA"/>
        </w:rPr>
        <w:t>subsoil</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user</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companies</w:t>
      </w:r>
      <w:proofErr w:type="spellEnd"/>
      <w:r w:rsidRPr="000D6086">
        <w:rPr>
          <w:rFonts w:ascii="Calibri" w:hAnsi="Calibri" w:cs="Calibri"/>
          <w:color w:val="333333"/>
          <w:sz w:val="24"/>
          <w:szCs w:val="24"/>
          <w:shd w:val="clear" w:color="auto" w:fill="FFFFFF"/>
          <w:lang w:val="af-ZA"/>
        </w:rPr>
        <w:t xml:space="preserve">, as </w:t>
      </w:r>
      <w:proofErr w:type="spellStart"/>
      <w:r w:rsidRPr="000D6086">
        <w:rPr>
          <w:rFonts w:ascii="Calibri" w:hAnsi="Calibri" w:cs="Calibri"/>
          <w:color w:val="333333"/>
          <w:sz w:val="24"/>
          <w:szCs w:val="24"/>
          <w:shd w:val="clear" w:color="auto" w:fill="FFFFFF"/>
          <w:lang w:val="af-ZA"/>
        </w:rPr>
        <w:t>well</w:t>
      </w:r>
      <w:proofErr w:type="spellEnd"/>
      <w:r w:rsidRPr="000D6086">
        <w:rPr>
          <w:rFonts w:ascii="Calibri" w:hAnsi="Calibri" w:cs="Calibri"/>
          <w:color w:val="333333"/>
          <w:sz w:val="24"/>
          <w:szCs w:val="24"/>
          <w:shd w:val="clear" w:color="auto" w:fill="FFFFFF"/>
          <w:lang w:val="af-ZA"/>
        </w:rPr>
        <w:t xml:space="preserve"> as </w:t>
      </w:r>
      <w:proofErr w:type="spellStart"/>
      <w:r w:rsidRPr="000D6086">
        <w:rPr>
          <w:rFonts w:ascii="Calibri" w:hAnsi="Calibri" w:cs="Calibri"/>
          <w:color w:val="333333"/>
          <w:sz w:val="24"/>
          <w:szCs w:val="24"/>
          <w:shd w:val="clear" w:color="auto" w:fill="FFFFFF"/>
          <w:lang w:val="af-ZA"/>
        </w:rPr>
        <w:t>payments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for</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social</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and</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economic</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development</w:t>
      </w:r>
      <w:proofErr w:type="spellEnd"/>
      <w:r w:rsidRPr="000D6086">
        <w:rPr>
          <w:rFonts w:ascii="Calibri" w:hAnsi="Calibri" w:cs="Calibri"/>
          <w:color w:val="333333"/>
          <w:sz w:val="24"/>
          <w:szCs w:val="24"/>
          <w:shd w:val="clear" w:color="auto" w:fill="FFFFFF"/>
          <w:lang w:val="af-ZA"/>
        </w:rPr>
        <w:t xml:space="preserve"> of </w:t>
      </w:r>
      <w:proofErr w:type="spellStart"/>
      <w:r w:rsidRPr="000D6086">
        <w:rPr>
          <w:rFonts w:ascii="Calibri" w:hAnsi="Calibri" w:cs="Calibri"/>
          <w:color w:val="333333"/>
          <w:sz w:val="24"/>
          <w:szCs w:val="24"/>
          <w:shd w:val="clear" w:color="auto" w:fill="FFFFFF"/>
          <w:lang w:val="af-ZA"/>
        </w:rPr>
        <w:t>the</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communities</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will</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be</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mandatory</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for</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each</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subsoil</w:t>
      </w:r>
      <w:proofErr w:type="spellEnd"/>
      <w:r w:rsidRPr="000D6086">
        <w:rPr>
          <w:rFonts w:ascii="Calibri" w:hAnsi="Calibri" w:cs="Calibri"/>
          <w:color w:val="333333"/>
          <w:sz w:val="24"/>
          <w:szCs w:val="24"/>
          <w:shd w:val="clear" w:color="auto" w:fill="FFFFFF"/>
          <w:lang w:val="af-ZA"/>
        </w:rPr>
        <w:t xml:space="preserve"> </w:t>
      </w:r>
      <w:proofErr w:type="spellStart"/>
      <w:r w:rsidRPr="000D6086">
        <w:rPr>
          <w:rFonts w:ascii="Calibri" w:hAnsi="Calibri" w:cs="Calibri"/>
          <w:color w:val="333333"/>
          <w:sz w:val="24"/>
          <w:szCs w:val="24"/>
          <w:shd w:val="clear" w:color="auto" w:fill="FFFFFF"/>
          <w:lang w:val="af-ZA"/>
        </w:rPr>
        <w:t>user</w:t>
      </w:r>
      <w:proofErr w:type="spellEnd"/>
      <w:r w:rsidRPr="000D6086">
        <w:rPr>
          <w:rFonts w:ascii="Calibri" w:hAnsi="Calibri" w:cs="Calibri"/>
          <w:color w:val="333333"/>
          <w:sz w:val="24"/>
          <w:szCs w:val="24"/>
          <w:shd w:val="clear" w:color="auto" w:fill="FFFFFF"/>
          <w:lang w:val="af-ZA"/>
        </w:rPr>
        <w:t xml:space="preserve">, holding  a </w:t>
      </w:r>
      <w:proofErr w:type="spellStart"/>
      <w:r w:rsidRPr="000D6086">
        <w:rPr>
          <w:rFonts w:ascii="Calibri" w:hAnsi="Calibri" w:cs="Calibri"/>
          <w:color w:val="333333"/>
          <w:sz w:val="24"/>
          <w:szCs w:val="24"/>
          <w:shd w:val="clear" w:color="auto" w:fill="FFFFFF"/>
          <w:lang w:val="af-ZA"/>
        </w:rPr>
        <w:t>mining</w:t>
      </w:r>
      <w:proofErr w:type="spellEnd"/>
      <w:r w:rsidRPr="000D6086">
        <w:rPr>
          <w:rFonts w:ascii="Calibri" w:hAnsi="Calibri" w:cs="Calibri"/>
          <w:color w:val="333333"/>
          <w:sz w:val="24"/>
          <w:szCs w:val="24"/>
          <w:shd w:val="clear" w:color="auto" w:fill="FFFFFF"/>
          <w:lang w:val="af-ZA"/>
        </w:rPr>
        <w:t xml:space="preserve"> permit.</w:t>
      </w:r>
    </w:p>
    <w:sectPr w:rsidR="009D672A" w:rsidRPr="000D60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BF6E" w14:textId="77777777" w:rsidR="00145D81" w:rsidRDefault="00145D81" w:rsidP="00602A2B">
      <w:pPr>
        <w:spacing w:after="0" w:line="240" w:lineRule="auto"/>
      </w:pPr>
      <w:r>
        <w:separator/>
      </w:r>
    </w:p>
  </w:endnote>
  <w:endnote w:type="continuationSeparator" w:id="0">
    <w:p w14:paraId="75C9BB2D" w14:textId="77777777" w:rsidR="00145D81" w:rsidRDefault="00145D81" w:rsidP="0060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Unicode">
    <w:altName w:val="Arial"/>
    <w:panose1 w:val="020B0604020202020204"/>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panose1 w:val="020B0604020202020204"/>
    <w:charset w:val="CC"/>
    <w:family w:val="auto"/>
    <w:pitch w:val="variable"/>
    <w:sig w:usb0="00000001"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94644"/>
      <w:docPartObj>
        <w:docPartGallery w:val="Page Numbers (Bottom of Page)"/>
        <w:docPartUnique/>
      </w:docPartObj>
    </w:sdtPr>
    <w:sdtEndPr>
      <w:rPr>
        <w:noProof/>
      </w:rPr>
    </w:sdtEndPr>
    <w:sdtContent>
      <w:p w14:paraId="6732994F" w14:textId="2DBBB0A1" w:rsidR="00492925" w:rsidRDefault="00492925">
        <w:pPr>
          <w:pStyle w:val="Footer"/>
          <w:jc w:val="right"/>
        </w:pPr>
        <w:r>
          <w:fldChar w:fldCharType="begin"/>
        </w:r>
        <w:r>
          <w:instrText xml:space="preserve"> PAGE   \* MERGEFORMAT </w:instrText>
        </w:r>
        <w:r>
          <w:fldChar w:fldCharType="separate"/>
        </w:r>
        <w:r w:rsidR="00213BBB">
          <w:rPr>
            <w:noProof/>
          </w:rPr>
          <w:t>2</w:t>
        </w:r>
        <w:r>
          <w:rPr>
            <w:noProof/>
          </w:rPr>
          <w:fldChar w:fldCharType="end"/>
        </w:r>
      </w:p>
    </w:sdtContent>
  </w:sdt>
  <w:p w14:paraId="308BE354" w14:textId="77777777" w:rsidR="00492925" w:rsidRDefault="0049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632" w14:textId="77777777" w:rsidR="00145D81" w:rsidRDefault="00145D81" w:rsidP="00602A2B">
      <w:pPr>
        <w:spacing w:after="0" w:line="240" w:lineRule="auto"/>
      </w:pPr>
      <w:r>
        <w:separator/>
      </w:r>
    </w:p>
  </w:footnote>
  <w:footnote w:type="continuationSeparator" w:id="0">
    <w:p w14:paraId="13F5C307" w14:textId="77777777" w:rsidR="00145D81" w:rsidRDefault="00145D81" w:rsidP="0060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32E4" w14:textId="17FCB34C" w:rsidR="00492925" w:rsidRDefault="00492925">
    <w:pPr>
      <w:pStyle w:val="Header"/>
    </w:pPr>
    <w:r>
      <w:rPr>
        <w:noProof/>
      </w:rPr>
      <w:drawing>
        <wp:anchor distT="0" distB="0" distL="114300" distR="114300" simplePos="0" relativeHeight="251658240" behindDoc="0" locked="0" layoutInCell="1" allowOverlap="1" wp14:anchorId="024F1BF5" wp14:editId="4E0786BC">
          <wp:simplePos x="0" y="0"/>
          <wp:positionH relativeFrom="margin">
            <wp:align>left</wp:align>
          </wp:positionH>
          <wp:positionV relativeFrom="paragraph">
            <wp:posOffset>-259080</wp:posOffset>
          </wp:positionV>
          <wp:extent cx="1950575" cy="5257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TI-Armenia-0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575" cy="52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A2C"/>
    <w:multiLevelType w:val="multilevel"/>
    <w:tmpl w:val="43545EBC"/>
    <w:lvl w:ilvl="0">
      <w:start w:val="1"/>
      <w:numFmt w:val="decimal"/>
      <w:lvlText w:val="%1."/>
      <w:lvlJc w:val="left"/>
      <w:pPr>
        <w:ind w:left="1440" w:hanging="360"/>
      </w:pPr>
      <w:rPr>
        <w:b/>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A0D4E5A"/>
    <w:multiLevelType w:val="hybridMultilevel"/>
    <w:tmpl w:val="0ECE5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B0488"/>
    <w:multiLevelType w:val="hybridMultilevel"/>
    <w:tmpl w:val="F8E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74EB2"/>
    <w:multiLevelType w:val="hybridMultilevel"/>
    <w:tmpl w:val="7BFC1A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8A52000"/>
    <w:multiLevelType w:val="hybridMultilevel"/>
    <w:tmpl w:val="36409988"/>
    <w:lvl w:ilvl="0" w:tplc="6824B966">
      <w:start w:val="1"/>
      <w:numFmt w:val="decimal"/>
      <w:lvlText w:val="(%1)"/>
      <w:lvlJc w:val="left"/>
      <w:pPr>
        <w:ind w:left="720" w:hanging="360"/>
      </w:pPr>
      <w:rPr>
        <w:rFonts w:cs="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87C68"/>
    <w:multiLevelType w:val="hybridMultilevel"/>
    <w:tmpl w:val="F5BAA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E01757"/>
    <w:multiLevelType w:val="multilevel"/>
    <w:tmpl w:val="1C04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6A0D"/>
    <w:multiLevelType w:val="hybridMultilevel"/>
    <w:tmpl w:val="195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02F3A"/>
    <w:multiLevelType w:val="hybridMultilevel"/>
    <w:tmpl w:val="F8E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36068"/>
    <w:multiLevelType w:val="hybridMultilevel"/>
    <w:tmpl w:val="7E4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F16"/>
    <w:multiLevelType w:val="hybridMultilevel"/>
    <w:tmpl w:val="5218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145FB"/>
    <w:multiLevelType w:val="hybridMultilevel"/>
    <w:tmpl w:val="D88E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376D8"/>
    <w:multiLevelType w:val="hybridMultilevel"/>
    <w:tmpl w:val="18A83092"/>
    <w:lvl w:ilvl="0" w:tplc="094602C8">
      <w:start w:val="1"/>
      <w:numFmt w:val="decimal"/>
      <w:lvlText w:val="%1)"/>
      <w:lvlJc w:val="left"/>
      <w:pPr>
        <w:ind w:left="720" w:hanging="360"/>
      </w:pPr>
      <w:rPr>
        <w:rFonts w:ascii="Arial Unicode" w:hAnsi="Arial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E028A3"/>
    <w:multiLevelType w:val="multilevel"/>
    <w:tmpl w:val="4A2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51059"/>
    <w:multiLevelType w:val="multilevel"/>
    <w:tmpl w:val="A330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D6219E"/>
    <w:multiLevelType w:val="hybridMultilevel"/>
    <w:tmpl w:val="9FD2B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701EE"/>
    <w:multiLevelType w:val="hybridMultilevel"/>
    <w:tmpl w:val="4FCE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
  </w:num>
  <w:num w:numId="5">
    <w:abstractNumId w:val="3"/>
  </w:num>
  <w:num w:numId="6">
    <w:abstractNumId w:val="11"/>
  </w:num>
  <w:num w:numId="7">
    <w:abstractNumId w:val="13"/>
  </w:num>
  <w:num w:numId="8">
    <w:abstractNumId w:val="15"/>
  </w:num>
  <w:num w:numId="9">
    <w:abstractNumId w:val="0"/>
  </w:num>
  <w:num w:numId="10">
    <w:abstractNumId w:val="12"/>
  </w:num>
  <w:num w:numId="11">
    <w:abstractNumId w:val="14"/>
  </w:num>
  <w:num w:numId="12">
    <w:abstractNumId w:val="16"/>
  </w:num>
  <w:num w:numId="13">
    <w:abstractNumId w:val="1"/>
  </w:num>
  <w:num w:numId="14">
    <w:abstractNumId w:val="6"/>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62"/>
    <w:rsid w:val="0000210C"/>
    <w:rsid w:val="00007A7B"/>
    <w:rsid w:val="00012812"/>
    <w:rsid w:val="000130CA"/>
    <w:rsid w:val="00013462"/>
    <w:rsid w:val="00014EC2"/>
    <w:rsid w:val="00015613"/>
    <w:rsid w:val="000476C9"/>
    <w:rsid w:val="00050DD4"/>
    <w:rsid w:val="00051703"/>
    <w:rsid w:val="00064E1F"/>
    <w:rsid w:val="00070090"/>
    <w:rsid w:val="00077B8A"/>
    <w:rsid w:val="00086025"/>
    <w:rsid w:val="00093BFE"/>
    <w:rsid w:val="000A0294"/>
    <w:rsid w:val="000A070F"/>
    <w:rsid w:val="000B4193"/>
    <w:rsid w:val="000C2174"/>
    <w:rsid w:val="000C341A"/>
    <w:rsid w:val="000C3DE8"/>
    <w:rsid w:val="000D1E9B"/>
    <w:rsid w:val="000D6086"/>
    <w:rsid w:val="000D6EC7"/>
    <w:rsid w:val="000E0C10"/>
    <w:rsid w:val="000E1456"/>
    <w:rsid w:val="000E7E69"/>
    <w:rsid w:val="000F579F"/>
    <w:rsid w:val="001018FA"/>
    <w:rsid w:val="00117242"/>
    <w:rsid w:val="00135548"/>
    <w:rsid w:val="001363EB"/>
    <w:rsid w:val="00145D81"/>
    <w:rsid w:val="00146816"/>
    <w:rsid w:val="00146C30"/>
    <w:rsid w:val="00150E4F"/>
    <w:rsid w:val="0016367A"/>
    <w:rsid w:val="00167530"/>
    <w:rsid w:val="001903F9"/>
    <w:rsid w:val="001B079F"/>
    <w:rsid w:val="001C622B"/>
    <w:rsid w:val="001D0CE1"/>
    <w:rsid w:val="001D3816"/>
    <w:rsid w:val="001D556A"/>
    <w:rsid w:val="001D5ED9"/>
    <w:rsid w:val="001E4E6E"/>
    <w:rsid w:val="001E6EAD"/>
    <w:rsid w:val="001E77E7"/>
    <w:rsid w:val="001E7A9C"/>
    <w:rsid w:val="001F6C23"/>
    <w:rsid w:val="001F6ED4"/>
    <w:rsid w:val="001F7066"/>
    <w:rsid w:val="00200CEB"/>
    <w:rsid w:val="00205FC6"/>
    <w:rsid w:val="00212554"/>
    <w:rsid w:val="00213BBB"/>
    <w:rsid w:val="00223B82"/>
    <w:rsid w:val="00223D5D"/>
    <w:rsid w:val="00225E3D"/>
    <w:rsid w:val="00227F19"/>
    <w:rsid w:val="00243F11"/>
    <w:rsid w:val="002651D8"/>
    <w:rsid w:val="0027227C"/>
    <w:rsid w:val="002830DB"/>
    <w:rsid w:val="002921FD"/>
    <w:rsid w:val="00294ABD"/>
    <w:rsid w:val="002957D9"/>
    <w:rsid w:val="00296118"/>
    <w:rsid w:val="00297766"/>
    <w:rsid w:val="002B17C2"/>
    <w:rsid w:val="002C2885"/>
    <w:rsid w:val="002C28B9"/>
    <w:rsid w:val="002C3E9C"/>
    <w:rsid w:val="002C4F6B"/>
    <w:rsid w:val="002D02BC"/>
    <w:rsid w:val="002E01CC"/>
    <w:rsid w:val="002E451C"/>
    <w:rsid w:val="002F598A"/>
    <w:rsid w:val="002F698D"/>
    <w:rsid w:val="003150C5"/>
    <w:rsid w:val="00315C97"/>
    <w:rsid w:val="003172D7"/>
    <w:rsid w:val="00327601"/>
    <w:rsid w:val="003340E6"/>
    <w:rsid w:val="0035607B"/>
    <w:rsid w:val="0035742E"/>
    <w:rsid w:val="0036722A"/>
    <w:rsid w:val="00370169"/>
    <w:rsid w:val="0037087E"/>
    <w:rsid w:val="003748F4"/>
    <w:rsid w:val="00380A0F"/>
    <w:rsid w:val="003A3933"/>
    <w:rsid w:val="003B19A5"/>
    <w:rsid w:val="003C24B5"/>
    <w:rsid w:val="003C5675"/>
    <w:rsid w:val="003D3894"/>
    <w:rsid w:val="003D7DAD"/>
    <w:rsid w:val="00403302"/>
    <w:rsid w:val="0041518F"/>
    <w:rsid w:val="00416EB8"/>
    <w:rsid w:val="004315D0"/>
    <w:rsid w:val="004321C1"/>
    <w:rsid w:val="00432CE3"/>
    <w:rsid w:val="004447EE"/>
    <w:rsid w:val="00453130"/>
    <w:rsid w:val="004620FF"/>
    <w:rsid w:val="0047615E"/>
    <w:rsid w:val="00492925"/>
    <w:rsid w:val="004A7514"/>
    <w:rsid w:val="004B6A39"/>
    <w:rsid w:val="004C3BD6"/>
    <w:rsid w:val="004E4F53"/>
    <w:rsid w:val="004E7A6E"/>
    <w:rsid w:val="004F2BC9"/>
    <w:rsid w:val="005061FD"/>
    <w:rsid w:val="00512209"/>
    <w:rsid w:val="00514228"/>
    <w:rsid w:val="00525610"/>
    <w:rsid w:val="00543114"/>
    <w:rsid w:val="00545132"/>
    <w:rsid w:val="00550140"/>
    <w:rsid w:val="00555175"/>
    <w:rsid w:val="00555EF9"/>
    <w:rsid w:val="005B7354"/>
    <w:rsid w:val="005C2B52"/>
    <w:rsid w:val="005C6999"/>
    <w:rsid w:val="005D2DF7"/>
    <w:rsid w:val="005D623E"/>
    <w:rsid w:val="005E437F"/>
    <w:rsid w:val="005E6807"/>
    <w:rsid w:val="005F5D90"/>
    <w:rsid w:val="00602A2B"/>
    <w:rsid w:val="00621DC6"/>
    <w:rsid w:val="00631299"/>
    <w:rsid w:val="00637C0A"/>
    <w:rsid w:val="006413CF"/>
    <w:rsid w:val="00650C1E"/>
    <w:rsid w:val="00656899"/>
    <w:rsid w:val="00685F8E"/>
    <w:rsid w:val="00697EB3"/>
    <w:rsid w:val="006A74CA"/>
    <w:rsid w:val="006C0A98"/>
    <w:rsid w:val="006C693D"/>
    <w:rsid w:val="006D308B"/>
    <w:rsid w:val="006D58CD"/>
    <w:rsid w:val="006D7321"/>
    <w:rsid w:val="006E7765"/>
    <w:rsid w:val="006E7B6C"/>
    <w:rsid w:val="006F2F84"/>
    <w:rsid w:val="006F4015"/>
    <w:rsid w:val="006F4432"/>
    <w:rsid w:val="00705BA1"/>
    <w:rsid w:val="00706BFA"/>
    <w:rsid w:val="007206D0"/>
    <w:rsid w:val="007445AA"/>
    <w:rsid w:val="00760FB6"/>
    <w:rsid w:val="00764D14"/>
    <w:rsid w:val="007716E0"/>
    <w:rsid w:val="007734E2"/>
    <w:rsid w:val="0079126E"/>
    <w:rsid w:val="007A5C8A"/>
    <w:rsid w:val="007A7A37"/>
    <w:rsid w:val="007C0F21"/>
    <w:rsid w:val="007C2364"/>
    <w:rsid w:val="007C70EB"/>
    <w:rsid w:val="007D0FA2"/>
    <w:rsid w:val="007D764F"/>
    <w:rsid w:val="007E7039"/>
    <w:rsid w:val="007F5F17"/>
    <w:rsid w:val="00820F33"/>
    <w:rsid w:val="00857243"/>
    <w:rsid w:val="00866A75"/>
    <w:rsid w:val="00866D82"/>
    <w:rsid w:val="00872C2F"/>
    <w:rsid w:val="00874E71"/>
    <w:rsid w:val="008A4D19"/>
    <w:rsid w:val="008B025B"/>
    <w:rsid w:val="008B4160"/>
    <w:rsid w:val="008C5D1C"/>
    <w:rsid w:val="008F2EFF"/>
    <w:rsid w:val="00901EFE"/>
    <w:rsid w:val="00902968"/>
    <w:rsid w:val="009312BA"/>
    <w:rsid w:val="009330F2"/>
    <w:rsid w:val="009348C2"/>
    <w:rsid w:val="00935FAD"/>
    <w:rsid w:val="009435E2"/>
    <w:rsid w:val="009542F5"/>
    <w:rsid w:val="00964D40"/>
    <w:rsid w:val="00964DB0"/>
    <w:rsid w:val="00971887"/>
    <w:rsid w:val="0097434A"/>
    <w:rsid w:val="00980257"/>
    <w:rsid w:val="00982ADF"/>
    <w:rsid w:val="00987517"/>
    <w:rsid w:val="009959DC"/>
    <w:rsid w:val="009A5746"/>
    <w:rsid w:val="009A658A"/>
    <w:rsid w:val="009B06E8"/>
    <w:rsid w:val="009D367F"/>
    <w:rsid w:val="009D672A"/>
    <w:rsid w:val="009F4110"/>
    <w:rsid w:val="00A10DF2"/>
    <w:rsid w:val="00A12BEE"/>
    <w:rsid w:val="00A30469"/>
    <w:rsid w:val="00A35E81"/>
    <w:rsid w:val="00A40E96"/>
    <w:rsid w:val="00A43974"/>
    <w:rsid w:val="00A51E26"/>
    <w:rsid w:val="00A62611"/>
    <w:rsid w:val="00A719AC"/>
    <w:rsid w:val="00A84654"/>
    <w:rsid w:val="00A90224"/>
    <w:rsid w:val="00A91045"/>
    <w:rsid w:val="00A92BAA"/>
    <w:rsid w:val="00A969B7"/>
    <w:rsid w:val="00AB0096"/>
    <w:rsid w:val="00AB6A0D"/>
    <w:rsid w:val="00AC4473"/>
    <w:rsid w:val="00AC683D"/>
    <w:rsid w:val="00AD1868"/>
    <w:rsid w:val="00AD48EF"/>
    <w:rsid w:val="00AE0957"/>
    <w:rsid w:val="00AF6A80"/>
    <w:rsid w:val="00B04CD7"/>
    <w:rsid w:val="00B20AA9"/>
    <w:rsid w:val="00B2479B"/>
    <w:rsid w:val="00B315AF"/>
    <w:rsid w:val="00B40098"/>
    <w:rsid w:val="00B43B86"/>
    <w:rsid w:val="00B5700E"/>
    <w:rsid w:val="00B67C0C"/>
    <w:rsid w:val="00B9486A"/>
    <w:rsid w:val="00BB7F9E"/>
    <w:rsid w:val="00BD0857"/>
    <w:rsid w:val="00BD1683"/>
    <w:rsid w:val="00BD31B9"/>
    <w:rsid w:val="00BD427B"/>
    <w:rsid w:val="00BD6E16"/>
    <w:rsid w:val="00BE1634"/>
    <w:rsid w:val="00BF3166"/>
    <w:rsid w:val="00C029FC"/>
    <w:rsid w:val="00C0423B"/>
    <w:rsid w:val="00C13BF4"/>
    <w:rsid w:val="00C15767"/>
    <w:rsid w:val="00C175B3"/>
    <w:rsid w:val="00C32415"/>
    <w:rsid w:val="00C32DB8"/>
    <w:rsid w:val="00C403E8"/>
    <w:rsid w:val="00C43ECB"/>
    <w:rsid w:val="00C51294"/>
    <w:rsid w:val="00C807CE"/>
    <w:rsid w:val="00C93F85"/>
    <w:rsid w:val="00C95C71"/>
    <w:rsid w:val="00CA73E8"/>
    <w:rsid w:val="00CB5B96"/>
    <w:rsid w:val="00CB726C"/>
    <w:rsid w:val="00CD18FF"/>
    <w:rsid w:val="00CF40C9"/>
    <w:rsid w:val="00CF7C8D"/>
    <w:rsid w:val="00D129D1"/>
    <w:rsid w:val="00D1568F"/>
    <w:rsid w:val="00D20BFF"/>
    <w:rsid w:val="00D25917"/>
    <w:rsid w:val="00D27AAE"/>
    <w:rsid w:val="00D34F88"/>
    <w:rsid w:val="00D36E32"/>
    <w:rsid w:val="00D5409E"/>
    <w:rsid w:val="00D621C5"/>
    <w:rsid w:val="00D71BAC"/>
    <w:rsid w:val="00D71F39"/>
    <w:rsid w:val="00DA2D6A"/>
    <w:rsid w:val="00DB18ED"/>
    <w:rsid w:val="00DB60AF"/>
    <w:rsid w:val="00DC13EB"/>
    <w:rsid w:val="00DC41FE"/>
    <w:rsid w:val="00DD250A"/>
    <w:rsid w:val="00DF76AD"/>
    <w:rsid w:val="00E02689"/>
    <w:rsid w:val="00E02BF8"/>
    <w:rsid w:val="00E03DDE"/>
    <w:rsid w:val="00E16A3A"/>
    <w:rsid w:val="00E370ED"/>
    <w:rsid w:val="00E465F3"/>
    <w:rsid w:val="00E50A60"/>
    <w:rsid w:val="00E56693"/>
    <w:rsid w:val="00E713A5"/>
    <w:rsid w:val="00E86FD5"/>
    <w:rsid w:val="00E90952"/>
    <w:rsid w:val="00E94F54"/>
    <w:rsid w:val="00E95426"/>
    <w:rsid w:val="00EA0F06"/>
    <w:rsid w:val="00EA518C"/>
    <w:rsid w:val="00EB4C5E"/>
    <w:rsid w:val="00EC3768"/>
    <w:rsid w:val="00EC4844"/>
    <w:rsid w:val="00ED1622"/>
    <w:rsid w:val="00ED1BDC"/>
    <w:rsid w:val="00EE69EC"/>
    <w:rsid w:val="00EE6D60"/>
    <w:rsid w:val="00EF2145"/>
    <w:rsid w:val="00EF78E0"/>
    <w:rsid w:val="00EF7B37"/>
    <w:rsid w:val="00EF7DB8"/>
    <w:rsid w:val="00F03547"/>
    <w:rsid w:val="00F10452"/>
    <w:rsid w:val="00F17489"/>
    <w:rsid w:val="00F23D6E"/>
    <w:rsid w:val="00F320AA"/>
    <w:rsid w:val="00F3625A"/>
    <w:rsid w:val="00F507C8"/>
    <w:rsid w:val="00F55BE9"/>
    <w:rsid w:val="00F63A21"/>
    <w:rsid w:val="00F70B7C"/>
    <w:rsid w:val="00F74392"/>
    <w:rsid w:val="00F743C7"/>
    <w:rsid w:val="00F75166"/>
    <w:rsid w:val="00F92F7F"/>
    <w:rsid w:val="00FA312F"/>
    <w:rsid w:val="00FA75AD"/>
    <w:rsid w:val="00FC4AC8"/>
    <w:rsid w:val="00FD07C7"/>
    <w:rsid w:val="00FE6EFE"/>
    <w:rsid w:val="00FF144F"/>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0CC3A"/>
  <w15:chartTrackingRefBased/>
  <w15:docId w15:val="{73022CA9-D91D-49A7-9135-DFF0F697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4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34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69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34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4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134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346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05BA1"/>
    <w:pPr>
      <w:ind w:left="720"/>
      <w:contextualSpacing/>
    </w:pPr>
    <w:rPr>
      <w:lang w:val="hy-AM"/>
    </w:rPr>
  </w:style>
  <w:style w:type="character" w:styleId="CommentReference">
    <w:name w:val="annotation reference"/>
    <w:basedOn w:val="DefaultParagraphFont"/>
    <w:uiPriority w:val="99"/>
    <w:unhideWhenUsed/>
    <w:rsid w:val="00CA73E8"/>
    <w:rPr>
      <w:sz w:val="16"/>
      <w:szCs w:val="16"/>
    </w:rPr>
  </w:style>
  <w:style w:type="paragraph" w:styleId="CommentText">
    <w:name w:val="annotation text"/>
    <w:basedOn w:val="Normal"/>
    <w:link w:val="CommentTextChar"/>
    <w:uiPriority w:val="99"/>
    <w:unhideWhenUsed/>
    <w:rsid w:val="00CA73E8"/>
    <w:pPr>
      <w:spacing w:line="240" w:lineRule="auto"/>
    </w:pPr>
    <w:rPr>
      <w:sz w:val="20"/>
      <w:szCs w:val="20"/>
    </w:rPr>
  </w:style>
  <w:style w:type="character" w:customStyle="1" w:styleId="CommentTextChar">
    <w:name w:val="Comment Text Char"/>
    <w:basedOn w:val="DefaultParagraphFont"/>
    <w:link w:val="CommentText"/>
    <w:uiPriority w:val="99"/>
    <w:rsid w:val="00CA73E8"/>
    <w:rPr>
      <w:sz w:val="20"/>
      <w:szCs w:val="20"/>
    </w:rPr>
  </w:style>
  <w:style w:type="paragraph" w:styleId="CommentSubject">
    <w:name w:val="annotation subject"/>
    <w:basedOn w:val="CommentText"/>
    <w:next w:val="CommentText"/>
    <w:link w:val="CommentSubjectChar"/>
    <w:uiPriority w:val="99"/>
    <w:semiHidden/>
    <w:unhideWhenUsed/>
    <w:rsid w:val="00CA73E8"/>
    <w:rPr>
      <w:b/>
      <w:bCs/>
    </w:rPr>
  </w:style>
  <w:style w:type="character" w:customStyle="1" w:styleId="CommentSubjectChar">
    <w:name w:val="Comment Subject Char"/>
    <w:basedOn w:val="CommentTextChar"/>
    <w:link w:val="CommentSubject"/>
    <w:uiPriority w:val="99"/>
    <w:semiHidden/>
    <w:rsid w:val="00CA73E8"/>
    <w:rPr>
      <w:b/>
      <w:bCs/>
      <w:sz w:val="20"/>
      <w:szCs w:val="20"/>
    </w:rPr>
  </w:style>
  <w:style w:type="paragraph" w:styleId="BalloonText">
    <w:name w:val="Balloon Text"/>
    <w:basedOn w:val="Normal"/>
    <w:link w:val="BalloonTextChar"/>
    <w:uiPriority w:val="99"/>
    <w:semiHidden/>
    <w:unhideWhenUsed/>
    <w:rsid w:val="00CA7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3E8"/>
    <w:rPr>
      <w:rFonts w:ascii="Segoe UI" w:hAnsi="Segoe UI" w:cs="Segoe UI"/>
      <w:sz w:val="18"/>
      <w:szCs w:val="18"/>
    </w:rPr>
  </w:style>
  <w:style w:type="table" w:styleId="TableGrid">
    <w:name w:val="Table Grid"/>
    <w:basedOn w:val="TableNormal"/>
    <w:uiPriority w:val="39"/>
    <w:rsid w:val="00CA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Текст виноски1,Текст виноски11"/>
    <w:basedOn w:val="Normal"/>
    <w:link w:val="FootnoteTextChar"/>
    <w:uiPriority w:val="99"/>
    <w:unhideWhenUsed/>
    <w:rsid w:val="00602A2B"/>
    <w:pPr>
      <w:spacing w:after="0" w:line="240" w:lineRule="auto"/>
      <w:jc w:val="both"/>
    </w:pPr>
    <w:rPr>
      <w:rFonts w:ascii="EYInterstate Light" w:hAnsi="EYInterstate Light" w:cs="Arial"/>
      <w:sz w:val="20"/>
      <w:szCs w:val="20"/>
      <w:lang w:val="en-GB"/>
    </w:rPr>
  </w:style>
  <w:style w:type="character" w:customStyle="1" w:styleId="FootnoteTextChar">
    <w:name w:val="Footnote Text Char"/>
    <w:aliases w:val="single space Char,footnote text Char,Текст виноски1 Char,Текст виноски11 Char"/>
    <w:basedOn w:val="DefaultParagraphFont"/>
    <w:link w:val="FootnoteText"/>
    <w:uiPriority w:val="99"/>
    <w:rsid w:val="00602A2B"/>
    <w:rPr>
      <w:rFonts w:ascii="EYInterstate Light" w:hAnsi="EYInterstate Light" w:cs="Arial"/>
      <w:sz w:val="20"/>
      <w:szCs w:val="20"/>
      <w:lang w:val="en-GB"/>
    </w:rPr>
  </w:style>
  <w:style w:type="character" w:styleId="FootnoteReference">
    <w:name w:val="footnote reference"/>
    <w:basedOn w:val="DefaultParagraphFont"/>
    <w:uiPriority w:val="99"/>
    <w:unhideWhenUsed/>
    <w:rsid w:val="00602A2B"/>
    <w:rPr>
      <w:vertAlign w:val="superscript"/>
    </w:rPr>
  </w:style>
  <w:style w:type="character" w:styleId="Hyperlink">
    <w:name w:val="Hyperlink"/>
    <w:basedOn w:val="DefaultParagraphFont"/>
    <w:uiPriority w:val="99"/>
    <w:unhideWhenUsed/>
    <w:rsid w:val="00602A2B"/>
    <w:rPr>
      <w:color w:val="0000FF"/>
      <w:u w:val="single"/>
    </w:rPr>
  </w:style>
  <w:style w:type="paragraph" w:styleId="NormalWeb">
    <w:name w:val="Normal (Web)"/>
    <w:basedOn w:val="Normal"/>
    <w:uiPriority w:val="99"/>
    <w:unhideWhenUsed/>
    <w:rsid w:val="00621D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C8"/>
  </w:style>
  <w:style w:type="paragraph" w:styleId="Footer">
    <w:name w:val="footer"/>
    <w:basedOn w:val="Normal"/>
    <w:link w:val="FooterChar"/>
    <w:uiPriority w:val="99"/>
    <w:unhideWhenUsed/>
    <w:rsid w:val="00FC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C8"/>
  </w:style>
  <w:style w:type="character" w:customStyle="1" w:styleId="SubtleEmphasis1">
    <w:name w:val="Subtle Emphasis1"/>
    <w:unhideWhenUsed/>
    <w:qFormat/>
    <w:rsid w:val="00971887"/>
    <w:rPr>
      <w:i/>
      <w:iCs/>
      <w:color w:val="000000"/>
      <w:lang w:val="en-US" w:eastAsia="en-US"/>
    </w:rPr>
  </w:style>
  <w:style w:type="character" w:customStyle="1" w:styleId="Heading3Char">
    <w:name w:val="Heading 3 Char"/>
    <w:basedOn w:val="DefaultParagraphFont"/>
    <w:link w:val="Heading3"/>
    <w:uiPriority w:val="9"/>
    <w:semiHidden/>
    <w:rsid w:val="00EE69E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85F8E"/>
    <w:rPr>
      <w:color w:val="954F72" w:themeColor="followedHyperlink"/>
      <w:u w:val="single"/>
    </w:rPr>
  </w:style>
  <w:style w:type="paragraph" w:styleId="TOCHeading">
    <w:name w:val="TOC Heading"/>
    <w:basedOn w:val="Heading1"/>
    <w:next w:val="Normal"/>
    <w:uiPriority w:val="39"/>
    <w:unhideWhenUsed/>
    <w:qFormat/>
    <w:rsid w:val="00F743C7"/>
    <w:pPr>
      <w:outlineLvl w:val="9"/>
    </w:pPr>
  </w:style>
  <w:style w:type="paragraph" w:styleId="TOC1">
    <w:name w:val="toc 1"/>
    <w:basedOn w:val="Normal"/>
    <w:next w:val="Normal"/>
    <w:autoRedefine/>
    <w:uiPriority w:val="39"/>
    <w:unhideWhenUsed/>
    <w:rsid w:val="00F743C7"/>
    <w:pPr>
      <w:spacing w:after="100"/>
    </w:pPr>
  </w:style>
  <w:style w:type="paragraph" w:styleId="TOC2">
    <w:name w:val="toc 2"/>
    <w:basedOn w:val="Normal"/>
    <w:next w:val="Normal"/>
    <w:autoRedefine/>
    <w:uiPriority w:val="39"/>
    <w:unhideWhenUsed/>
    <w:rsid w:val="00117242"/>
    <w:pPr>
      <w:spacing w:after="100"/>
      <w:ind w:left="220"/>
    </w:pPr>
  </w:style>
  <w:style w:type="paragraph" w:customStyle="1" w:styleId="mcntmsonormal">
    <w:name w:val="mcntmsonormal"/>
    <w:basedOn w:val="Normal"/>
    <w:rsid w:val="00934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itlepage">
    <w:name w:val="Title titlepage"/>
    <w:basedOn w:val="Normal"/>
    <w:qFormat/>
    <w:rsid w:val="00EC4844"/>
    <w:pPr>
      <w:widowControl w:val="0"/>
      <w:suppressAutoHyphens/>
      <w:spacing w:after="360" w:line="276" w:lineRule="auto"/>
    </w:pPr>
    <w:rPr>
      <w:rFonts w:ascii="Franklin Gothic Book" w:eastAsia="Times New Roman" w:hAnsi="Franklin Gothic Book" w:cs="Calibri"/>
      <w:b/>
      <w:color w:val="132B55"/>
      <w:sz w:val="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68329">
      <w:bodyDiv w:val="1"/>
      <w:marLeft w:val="0"/>
      <w:marRight w:val="0"/>
      <w:marTop w:val="0"/>
      <w:marBottom w:val="0"/>
      <w:divBdr>
        <w:top w:val="none" w:sz="0" w:space="0" w:color="auto"/>
        <w:left w:val="none" w:sz="0" w:space="0" w:color="auto"/>
        <w:bottom w:val="none" w:sz="0" w:space="0" w:color="auto"/>
        <w:right w:val="none" w:sz="0" w:space="0" w:color="auto"/>
      </w:divBdr>
    </w:div>
    <w:div w:id="540553333">
      <w:bodyDiv w:val="1"/>
      <w:marLeft w:val="0"/>
      <w:marRight w:val="0"/>
      <w:marTop w:val="0"/>
      <w:marBottom w:val="0"/>
      <w:divBdr>
        <w:top w:val="none" w:sz="0" w:space="0" w:color="auto"/>
        <w:left w:val="none" w:sz="0" w:space="0" w:color="auto"/>
        <w:bottom w:val="none" w:sz="0" w:space="0" w:color="auto"/>
        <w:right w:val="none" w:sz="0" w:space="0" w:color="auto"/>
      </w:divBdr>
    </w:div>
    <w:div w:id="826703390">
      <w:bodyDiv w:val="1"/>
      <w:marLeft w:val="0"/>
      <w:marRight w:val="0"/>
      <w:marTop w:val="0"/>
      <w:marBottom w:val="0"/>
      <w:divBdr>
        <w:top w:val="none" w:sz="0" w:space="0" w:color="auto"/>
        <w:left w:val="none" w:sz="0" w:space="0" w:color="auto"/>
        <w:bottom w:val="none" w:sz="0" w:space="0" w:color="auto"/>
        <w:right w:val="none" w:sz="0" w:space="0" w:color="auto"/>
      </w:divBdr>
    </w:div>
    <w:div w:id="963970498">
      <w:bodyDiv w:val="1"/>
      <w:marLeft w:val="0"/>
      <w:marRight w:val="0"/>
      <w:marTop w:val="0"/>
      <w:marBottom w:val="0"/>
      <w:divBdr>
        <w:top w:val="none" w:sz="0" w:space="0" w:color="auto"/>
        <w:left w:val="none" w:sz="0" w:space="0" w:color="auto"/>
        <w:bottom w:val="none" w:sz="0" w:space="0" w:color="auto"/>
        <w:right w:val="none" w:sz="0" w:space="0" w:color="auto"/>
      </w:divBdr>
    </w:div>
    <w:div w:id="1119684540">
      <w:bodyDiv w:val="1"/>
      <w:marLeft w:val="0"/>
      <w:marRight w:val="0"/>
      <w:marTop w:val="0"/>
      <w:marBottom w:val="0"/>
      <w:divBdr>
        <w:top w:val="none" w:sz="0" w:space="0" w:color="auto"/>
        <w:left w:val="none" w:sz="0" w:space="0" w:color="auto"/>
        <w:bottom w:val="none" w:sz="0" w:space="0" w:color="auto"/>
        <w:right w:val="none" w:sz="0" w:space="0" w:color="auto"/>
      </w:divBdr>
    </w:div>
    <w:div w:id="1267345466">
      <w:bodyDiv w:val="1"/>
      <w:marLeft w:val="0"/>
      <w:marRight w:val="0"/>
      <w:marTop w:val="0"/>
      <w:marBottom w:val="0"/>
      <w:divBdr>
        <w:top w:val="none" w:sz="0" w:space="0" w:color="auto"/>
        <w:left w:val="none" w:sz="0" w:space="0" w:color="auto"/>
        <w:bottom w:val="none" w:sz="0" w:space="0" w:color="auto"/>
        <w:right w:val="none" w:sz="0" w:space="0" w:color="auto"/>
      </w:divBdr>
    </w:div>
    <w:div w:id="1939558572">
      <w:bodyDiv w:val="1"/>
      <w:marLeft w:val="0"/>
      <w:marRight w:val="0"/>
      <w:marTop w:val="0"/>
      <w:marBottom w:val="0"/>
      <w:divBdr>
        <w:top w:val="none" w:sz="0" w:space="0" w:color="auto"/>
        <w:left w:val="none" w:sz="0" w:space="0" w:color="auto"/>
        <w:bottom w:val="none" w:sz="0" w:space="0" w:color="auto"/>
        <w:right w:val="none" w:sz="0" w:space="0" w:color="auto"/>
      </w:divBdr>
    </w:div>
    <w:div w:id="20872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11DF-FAFD-4170-B3CB-701AE0D5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Tovmasyan</dc:creator>
  <cp:keywords/>
  <dc:description/>
  <cp:lastModifiedBy>Anahit Anoyan</cp:lastModifiedBy>
  <cp:revision>4</cp:revision>
  <dcterms:created xsi:type="dcterms:W3CDTF">2024-02-06T09:53:00Z</dcterms:created>
  <dcterms:modified xsi:type="dcterms:W3CDTF">2024-04-11T09:16:00Z</dcterms:modified>
</cp:coreProperties>
</file>